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6A84D" w14:textId="77777777" w:rsidR="000F106A" w:rsidRPr="00434904" w:rsidRDefault="004A1323" w:rsidP="001058DA">
      <w:pPr>
        <w:jc w:val="center"/>
        <w:rPr>
          <w:b/>
        </w:rPr>
        <w:sectPr w:rsidR="000F106A" w:rsidRPr="00434904" w:rsidSect="001058DA">
          <w:headerReference w:type="default" r:id="rId8"/>
          <w:headerReference w:type="first" r:id="rId9"/>
          <w:pgSz w:w="12240" w:h="15840"/>
          <w:pgMar w:top="1440" w:right="1440" w:bottom="1440" w:left="1440" w:header="720" w:footer="720" w:gutter="0"/>
          <w:cols w:space="720"/>
          <w:titlePg/>
          <w:docGrid w:linePitch="360"/>
        </w:sectPr>
      </w:pPr>
      <w:r w:rsidRPr="004A1323">
        <w:rPr>
          <w:b/>
          <w:color w:val="000000" w:themeColor="text1"/>
        </w:rPr>
        <w:t>Curaçao</w:t>
      </w:r>
      <w:r w:rsidR="000F106A" w:rsidRPr="004A1323">
        <w:rPr>
          <w:b/>
          <w:color w:val="000000" w:themeColor="text1"/>
        </w:rPr>
        <w:t xml:space="preserve">: </w:t>
      </w:r>
      <w:r w:rsidR="00C32483">
        <w:rPr>
          <w:b/>
        </w:rPr>
        <w:t xml:space="preserve">Main Conclusions of </w:t>
      </w:r>
      <w:r w:rsidR="00E234B8">
        <w:rPr>
          <w:b/>
        </w:rPr>
        <w:t xml:space="preserve">the </w:t>
      </w:r>
      <w:r w:rsidR="000F106A" w:rsidRPr="00434904">
        <w:rPr>
          <w:b/>
        </w:rPr>
        <w:t xml:space="preserve">IMF </w:t>
      </w:r>
      <w:r w:rsidR="00BF16B8" w:rsidRPr="00434904">
        <w:rPr>
          <w:b/>
        </w:rPr>
        <w:t xml:space="preserve">Staff </w:t>
      </w:r>
      <w:r>
        <w:rPr>
          <w:b/>
        </w:rPr>
        <w:t>Visit</w:t>
      </w:r>
      <w:r w:rsidR="000F106A" w:rsidRPr="00434904">
        <w:rPr>
          <w:b/>
        </w:rPr>
        <w:t xml:space="preserve"> </w:t>
      </w:r>
    </w:p>
    <w:p w14:paraId="23138A9D" w14:textId="30FE9CA4" w:rsidR="000F106A" w:rsidRPr="00434904" w:rsidRDefault="00E10E27" w:rsidP="00C32483">
      <w:pPr>
        <w:jc w:val="center"/>
      </w:pPr>
      <w:r>
        <w:t xml:space="preserve">June </w:t>
      </w:r>
      <w:r w:rsidR="00C8326C">
        <w:t>7</w:t>
      </w:r>
      <w:r w:rsidR="000F106A" w:rsidRPr="00434904">
        <w:t>,</w:t>
      </w:r>
      <w:r w:rsidR="00DD5726" w:rsidRPr="00434904">
        <w:t xml:space="preserve"> 2019</w:t>
      </w:r>
    </w:p>
    <w:p w14:paraId="455B3C8C" w14:textId="70F8612A" w:rsidR="009B5F71" w:rsidRPr="00434904" w:rsidRDefault="001878D3" w:rsidP="00683F9E">
      <w:pPr>
        <w:spacing w:after="240"/>
        <w:rPr>
          <w:i/>
        </w:rPr>
      </w:pPr>
      <w:r>
        <w:rPr>
          <w:i/>
        </w:rPr>
        <w:t>Curaçao</w:t>
      </w:r>
      <w:r w:rsidR="004A1323">
        <w:rPr>
          <w:i/>
        </w:rPr>
        <w:t xml:space="preserve"> is</w:t>
      </w:r>
      <w:r w:rsidR="00030A39">
        <w:rPr>
          <w:i/>
        </w:rPr>
        <w:t xml:space="preserve"> facing th</w:t>
      </w:r>
      <w:r w:rsidR="005F67A0">
        <w:rPr>
          <w:i/>
        </w:rPr>
        <w:t xml:space="preserve">e fourth year of recession as its economy has been hit by </w:t>
      </w:r>
      <w:r w:rsidR="004A1323">
        <w:rPr>
          <w:i/>
        </w:rPr>
        <w:t>spillovers from the Venezuela crisis</w:t>
      </w:r>
      <w:r w:rsidR="009418E0">
        <w:rPr>
          <w:i/>
        </w:rPr>
        <w:t>.</w:t>
      </w:r>
      <w:r w:rsidR="00E234B8">
        <w:rPr>
          <w:i/>
        </w:rPr>
        <w:t xml:space="preserve"> The spillovers are exposing long-standing </w:t>
      </w:r>
      <w:r w:rsidR="005F67A0">
        <w:rPr>
          <w:i/>
        </w:rPr>
        <w:t>structural challenges and</w:t>
      </w:r>
      <w:r w:rsidR="005F6B44">
        <w:rPr>
          <w:i/>
        </w:rPr>
        <w:t xml:space="preserve"> </w:t>
      </w:r>
      <w:r w:rsidR="00E234B8" w:rsidRPr="009C077A">
        <w:rPr>
          <w:i/>
        </w:rPr>
        <w:t>weaknesses in public finan</w:t>
      </w:r>
      <w:r w:rsidR="005F6B44" w:rsidRPr="009C077A">
        <w:rPr>
          <w:i/>
        </w:rPr>
        <w:t>ces</w:t>
      </w:r>
      <w:r w:rsidR="005F67A0" w:rsidRPr="009C077A">
        <w:rPr>
          <w:i/>
        </w:rPr>
        <w:t xml:space="preserve"> </w:t>
      </w:r>
      <w:r w:rsidR="006B6334" w:rsidRPr="009C077A">
        <w:rPr>
          <w:i/>
        </w:rPr>
        <w:t>and</w:t>
      </w:r>
      <w:r w:rsidR="005F67A0" w:rsidRPr="009C077A">
        <w:rPr>
          <w:i/>
        </w:rPr>
        <w:t xml:space="preserve"> </w:t>
      </w:r>
      <w:r w:rsidR="00231339">
        <w:rPr>
          <w:i/>
        </w:rPr>
        <w:t>contr</w:t>
      </w:r>
      <w:bookmarkStart w:id="0" w:name="_GoBack"/>
      <w:bookmarkEnd w:id="0"/>
      <w:r w:rsidR="00231339">
        <w:rPr>
          <w:i/>
        </w:rPr>
        <w:t>ibute to</w:t>
      </w:r>
      <w:r w:rsidR="005F67A0" w:rsidRPr="009C077A">
        <w:rPr>
          <w:i/>
        </w:rPr>
        <w:t xml:space="preserve"> external vulnerabilities. </w:t>
      </w:r>
      <w:r w:rsidR="00054ECA">
        <w:rPr>
          <w:i/>
        </w:rPr>
        <w:t>Implementing quality measures that produce</w:t>
      </w:r>
      <w:r w:rsidR="00565464">
        <w:rPr>
          <w:i/>
        </w:rPr>
        <w:t xml:space="preserve"> a</w:t>
      </w:r>
      <w:r w:rsidR="00054ECA">
        <w:rPr>
          <w:i/>
        </w:rPr>
        <w:t xml:space="preserve"> lasting change in the public finances is important for medium</w:t>
      </w:r>
      <w:r w:rsidR="009858EB">
        <w:rPr>
          <w:i/>
        </w:rPr>
        <w:t>-</w:t>
      </w:r>
      <w:r w:rsidR="00054ECA">
        <w:rPr>
          <w:i/>
        </w:rPr>
        <w:t>term sustainability and</w:t>
      </w:r>
      <w:r w:rsidR="005F67A0" w:rsidRPr="009C077A">
        <w:rPr>
          <w:i/>
        </w:rPr>
        <w:t xml:space="preserve"> regain</w:t>
      </w:r>
      <w:r w:rsidR="00054ECA">
        <w:rPr>
          <w:i/>
        </w:rPr>
        <w:t>ing</w:t>
      </w:r>
      <w:r w:rsidR="005F67A0" w:rsidRPr="009C077A">
        <w:rPr>
          <w:i/>
        </w:rPr>
        <w:t xml:space="preserve"> economic growth</w:t>
      </w:r>
      <w:r w:rsidR="007E1DB4" w:rsidRPr="009C077A">
        <w:rPr>
          <w:i/>
        </w:rPr>
        <w:t>.</w:t>
      </w:r>
      <w:r w:rsidR="003012CF">
        <w:rPr>
          <w:i/>
        </w:rPr>
        <w:t xml:space="preserve"> </w:t>
      </w:r>
      <w:r w:rsidR="00EE09BF">
        <w:rPr>
          <w:i/>
        </w:rPr>
        <w:t>Gradual fiscal adjustment coupled with credible policy measures would help protect growth while restoring medium-term sustainability</w:t>
      </w:r>
      <w:r w:rsidR="003012CF">
        <w:rPr>
          <w:i/>
        </w:rPr>
        <w:t>.</w:t>
      </w:r>
    </w:p>
    <w:p w14:paraId="582E966F" w14:textId="1B4A2EBB" w:rsidR="00BC5DE2" w:rsidRDefault="00EE09BF" w:rsidP="00683F9E">
      <w:pPr>
        <w:pStyle w:val="ListBullet"/>
        <w:numPr>
          <w:ilvl w:val="0"/>
          <w:numId w:val="0"/>
        </w:numPr>
        <w:tabs>
          <w:tab w:val="left" w:pos="0"/>
        </w:tabs>
      </w:pPr>
      <w:r>
        <w:rPr>
          <w:b/>
        </w:rPr>
        <w:t>Cura</w:t>
      </w:r>
      <w:r w:rsidR="00EC4B48" w:rsidRPr="004A1323">
        <w:rPr>
          <w:b/>
          <w:color w:val="000000" w:themeColor="text1"/>
        </w:rPr>
        <w:t>ç</w:t>
      </w:r>
      <w:r>
        <w:rPr>
          <w:b/>
        </w:rPr>
        <w:t xml:space="preserve">ao’s ongoing recession since </w:t>
      </w:r>
      <w:r w:rsidR="00E37F45">
        <w:rPr>
          <w:b/>
        </w:rPr>
        <w:t>201</w:t>
      </w:r>
      <w:r w:rsidR="00F300C0">
        <w:rPr>
          <w:b/>
        </w:rPr>
        <w:t>6</w:t>
      </w:r>
      <w:r>
        <w:rPr>
          <w:b/>
        </w:rPr>
        <w:t xml:space="preserve"> </w:t>
      </w:r>
      <w:r w:rsidR="0025784F">
        <w:rPr>
          <w:b/>
        </w:rPr>
        <w:t>deepened in 2018</w:t>
      </w:r>
      <w:r w:rsidR="008F15DC">
        <w:rPr>
          <w:b/>
        </w:rPr>
        <w:t xml:space="preserve"> due to continued</w:t>
      </w:r>
      <w:r w:rsidR="007E1DB4">
        <w:rPr>
          <w:b/>
        </w:rPr>
        <w:t xml:space="preserve"> spillovers </w:t>
      </w:r>
      <w:r w:rsidR="008F15DC">
        <w:rPr>
          <w:b/>
        </w:rPr>
        <w:t>from the crisis in Venezuela</w:t>
      </w:r>
      <w:r w:rsidR="0025784F">
        <w:rPr>
          <w:b/>
        </w:rPr>
        <w:t>.</w:t>
      </w:r>
      <w:r w:rsidR="008F15DC">
        <w:rPr>
          <w:b/>
        </w:rPr>
        <w:t xml:space="preserve"> </w:t>
      </w:r>
      <w:r w:rsidR="0025784F" w:rsidRPr="001058DA">
        <w:t xml:space="preserve">GDP </w:t>
      </w:r>
      <w:r w:rsidR="001372BA">
        <w:t>d</w:t>
      </w:r>
      <w:r w:rsidR="0025784F" w:rsidRPr="001058DA">
        <w:t>ecline</w:t>
      </w:r>
      <w:r w:rsidR="001372BA">
        <w:t>d</w:t>
      </w:r>
      <w:r w:rsidR="0025784F" w:rsidRPr="001058DA">
        <w:t xml:space="preserve"> by</w:t>
      </w:r>
      <w:r w:rsidR="001372BA">
        <w:t xml:space="preserve"> an estimated</w:t>
      </w:r>
      <w:r w:rsidR="0025784F" w:rsidRPr="001058DA">
        <w:t xml:space="preserve"> 2¾ </w:t>
      </w:r>
      <w:r w:rsidR="0025784F">
        <w:t>percent</w:t>
      </w:r>
      <w:r>
        <w:t xml:space="preserve"> in 2018</w:t>
      </w:r>
      <w:r w:rsidR="00BC136C">
        <w:t>,</w:t>
      </w:r>
      <w:r w:rsidR="0025784F">
        <w:t xml:space="preserve"> bringing </w:t>
      </w:r>
      <w:r w:rsidR="008641A0">
        <w:t xml:space="preserve">the </w:t>
      </w:r>
      <w:r w:rsidR="0025784F" w:rsidRPr="001058DA">
        <w:t>cumulative contraction</w:t>
      </w:r>
      <w:r w:rsidR="0025784F">
        <w:t xml:space="preserve"> in the past 3 years to</w:t>
      </w:r>
      <w:r w:rsidR="0025784F" w:rsidRPr="001058DA">
        <w:t xml:space="preserve"> 5½ percent. </w:t>
      </w:r>
      <w:r>
        <w:t>Declines in</w:t>
      </w:r>
      <w:r w:rsidR="00D0120A">
        <w:t xml:space="preserve"> refining, oil transshipment</w:t>
      </w:r>
      <w:r w:rsidR="00BC136C">
        <w:t>,</w:t>
      </w:r>
      <w:r w:rsidR="00D0120A">
        <w:t xml:space="preserve"> and related services w</w:t>
      </w:r>
      <w:r>
        <w:t>ere</w:t>
      </w:r>
      <w:r w:rsidR="00D0120A">
        <w:t xml:space="preserve"> the main contribu</w:t>
      </w:r>
      <w:r w:rsidR="007E1F7F">
        <w:t>tor</w:t>
      </w:r>
      <w:r>
        <w:t>s</w:t>
      </w:r>
      <w:r w:rsidR="00D0120A">
        <w:t>:</w:t>
      </w:r>
      <w:r w:rsidR="000A5BEB">
        <w:t xml:space="preserve"> </w:t>
      </w:r>
      <w:r w:rsidR="007E1F7F">
        <w:t>t</w:t>
      </w:r>
      <w:r w:rsidR="00617E51">
        <w:t>he</w:t>
      </w:r>
      <w:bookmarkStart w:id="1" w:name="_Hlk10036413"/>
      <w:r w:rsidR="00617E51">
        <w:t xml:space="preserve"> </w:t>
      </w:r>
      <w:bookmarkEnd w:id="1"/>
      <w:r w:rsidR="00617E51">
        <w:t xml:space="preserve">refinery effectively shut down production </w:t>
      </w:r>
      <w:r w:rsidR="007753DC">
        <w:t xml:space="preserve">during the first half of </w:t>
      </w:r>
      <w:r w:rsidR="00617E51">
        <w:t>2018</w:t>
      </w:r>
      <w:r w:rsidR="00BC136C">
        <w:t xml:space="preserve"> while</w:t>
      </w:r>
      <w:r w:rsidR="009B7D54">
        <w:t xml:space="preserve"> keeping employees and </w:t>
      </w:r>
      <w:r w:rsidR="009E75F7">
        <w:t>continu</w:t>
      </w:r>
      <w:r w:rsidR="009B7D54">
        <w:t>ing</w:t>
      </w:r>
      <w:r w:rsidR="009E75F7">
        <w:t xml:space="preserve"> to </w:t>
      </w:r>
      <w:r w:rsidR="00C83D66">
        <w:t>pay wages</w:t>
      </w:r>
      <w:r w:rsidR="008A60AC">
        <w:t xml:space="preserve"> </w:t>
      </w:r>
      <w:r w:rsidR="00C83D66">
        <w:t xml:space="preserve">from small-scale batches of production </w:t>
      </w:r>
      <w:r w:rsidR="00BC136C">
        <w:t xml:space="preserve">with </w:t>
      </w:r>
      <w:r w:rsidR="00C83D66">
        <w:t>the remaining stock of oil</w:t>
      </w:r>
      <w:r w:rsidR="00617E51">
        <w:t>.</w:t>
      </w:r>
      <w:r w:rsidR="007E1F7F">
        <w:rPr>
          <w:rStyle w:val="FootnoteReference"/>
        </w:rPr>
        <w:footnoteReference w:id="1"/>
      </w:r>
      <w:r w:rsidR="007E1F7F">
        <w:t xml:space="preserve"> </w:t>
      </w:r>
      <w:r>
        <w:t>D</w:t>
      </w:r>
      <w:r w:rsidR="00B422AE">
        <w:t>isruptions in the oil sector</w:t>
      </w:r>
      <w:r w:rsidR="00326951">
        <w:t xml:space="preserve"> have</w:t>
      </w:r>
      <w:r w:rsidR="00617E51">
        <w:t xml:space="preserve"> spr</w:t>
      </w:r>
      <w:r w:rsidR="00B422AE">
        <w:t>ead to supporting sectors,</w:t>
      </w:r>
      <w:r w:rsidR="00617E51">
        <w:t xml:space="preserve"> </w:t>
      </w:r>
      <w:r w:rsidR="001847EE">
        <w:t>reducing</w:t>
      </w:r>
      <w:r w:rsidR="00B422AE">
        <w:t xml:space="preserve"> employment and </w:t>
      </w:r>
      <w:r w:rsidR="00565464">
        <w:t>fiscal</w:t>
      </w:r>
      <w:r w:rsidR="002B3B4E">
        <w:t xml:space="preserve"> </w:t>
      </w:r>
      <w:r w:rsidR="001847EE">
        <w:t>revenue</w:t>
      </w:r>
      <w:r w:rsidR="00617E51">
        <w:t xml:space="preserve">. The switch to more expensive fuel suppliers in </w:t>
      </w:r>
      <w:r w:rsidR="00816162">
        <w:t>the second half of</w:t>
      </w:r>
      <w:r w:rsidR="00617E51">
        <w:t> 2018</w:t>
      </w:r>
      <w:r w:rsidR="00B422AE">
        <w:t xml:space="preserve"> and the bankruptcy of the local airline—related to</w:t>
      </w:r>
      <w:r w:rsidR="006E2EAF">
        <w:t xml:space="preserve"> its</w:t>
      </w:r>
      <w:r w:rsidR="00E31EAF">
        <w:t xml:space="preserve"> inability to collect payments from</w:t>
      </w:r>
      <w:r w:rsidR="00B422AE">
        <w:t xml:space="preserve"> Venezuela</w:t>
      </w:r>
      <w:r w:rsidR="00E15FC9">
        <w:t>—</w:t>
      </w:r>
      <w:r w:rsidR="00F345FF">
        <w:t xml:space="preserve">contributed to </w:t>
      </w:r>
      <w:r w:rsidR="001847EE">
        <w:t xml:space="preserve">the </w:t>
      </w:r>
      <w:r w:rsidR="00CA34F4">
        <w:t xml:space="preserve">external </w:t>
      </w:r>
      <w:r w:rsidR="001847EE">
        <w:t>current account deficit to</w:t>
      </w:r>
      <w:r w:rsidR="00617E51">
        <w:t xml:space="preserve"> </w:t>
      </w:r>
      <w:r w:rsidR="00F20496">
        <w:t xml:space="preserve">nearly </w:t>
      </w:r>
      <w:r w:rsidR="00617E51">
        <w:t>29 percent of GDP an</w:t>
      </w:r>
      <w:r w:rsidR="00C83D66">
        <w:t xml:space="preserve">d </w:t>
      </w:r>
      <w:r w:rsidR="00940F73">
        <w:t xml:space="preserve">pushed up </w:t>
      </w:r>
      <w:r w:rsidR="00B422AE">
        <w:t>inflation</w:t>
      </w:r>
      <w:r w:rsidR="00183B96">
        <w:t xml:space="preserve"> (Table 1)</w:t>
      </w:r>
      <w:r w:rsidR="00617E51">
        <w:t>.</w:t>
      </w:r>
      <w:r w:rsidR="00F65550">
        <w:t xml:space="preserve"> Historically strong trade linkages with Venezuela </w:t>
      </w:r>
      <w:r>
        <w:t>dropped sharply</w:t>
      </w:r>
      <w:r w:rsidR="00F65550">
        <w:t xml:space="preserve"> (Figure 1).</w:t>
      </w:r>
    </w:p>
    <w:p w14:paraId="0E4DF66C" w14:textId="034FF406" w:rsidR="00617E51" w:rsidRDefault="006E2EAF" w:rsidP="00683F9E">
      <w:pPr>
        <w:pStyle w:val="ListBullet"/>
        <w:numPr>
          <w:ilvl w:val="0"/>
          <w:numId w:val="0"/>
        </w:numPr>
        <w:tabs>
          <w:tab w:val="left" w:pos="0"/>
        </w:tabs>
      </w:pPr>
      <w:r>
        <w:rPr>
          <w:b/>
        </w:rPr>
        <w:t>The</w:t>
      </w:r>
      <w:r w:rsidR="00FE221A">
        <w:rPr>
          <w:b/>
        </w:rPr>
        <w:t xml:space="preserve"> economic</w:t>
      </w:r>
      <w:r w:rsidR="00C83D66">
        <w:rPr>
          <w:b/>
        </w:rPr>
        <w:t xml:space="preserve"> outlook is challenging, </w:t>
      </w:r>
      <w:r w:rsidR="009E75F7">
        <w:rPr>
          <w:b/>
        </w:rPr>
        <w:t xml:space="preserve">despite </w:t>
      </w:r>
      <w:r w:rsidR="00E52923">
        <w:rPr>
          <w:b/>
        </w:rPr>
        <w:t xml:space="preserve">rapid growth in </w:t>
      </w:r>
      <w:r>
        <w:rPr>
          <w:b/>
        </w:rPr>
        <w:t>the tourism sector</w:t>
      </w:r>
      <w:r w:rsidR="00617E51">
        <w:t xml:space="preserve">. </w:t>
      </w:r>
      <w:r w:rsidR="00FE221A">
        <w:t>GD</w:t>
      </w:r>
      <w:r w:rsidR="00527FA0">
        <w:t xml:space="preserve">P is expected to contract by </w:t>
      </w:r>
      <w:r w:rsidR="00BC136C">
        <w:t xml:space="preserve">about </w:t>
      </w:r>
      <w:r w:rsidR="00527FA0">
        <w:t>2</w:t>
      </w:r>
      <w:r w:rsidR="00C83D66">
        <w:t xml:space="preserve"> percent this year </w:t>
      </w:r>
      <w:r w:rsidR="00FD7AB0">
        <w:t xml:space="preserve">with </w:t>
      </w:r>
      <w:r w:rsidR="002B3B4E">
        <w:t xml:space="preserve">a </w:t>
      </w:r>
      <w:r w:rsidR="00C83D66">
        <w:t xml:space="preserve">large </w:t>
      </w:r>
      <w:r w:rsidR="00FE221A">
        <w:t>negative contribution from the refinery</w:t>
      </w:r>
      <w:r w:rsidR="00C83D66">
        <w:t xml:space="preserve"> (</w:t>
      </w:r>
      <w:r w:rsidR="002B3B4E">
        <w:t xml:space="preserve">estimated at </w:t>
      </w:r>
      <w:r w:rsidR="00C83D66">
        <w:t>3-3½ percent</w:t>
      </w:r>
      <w:r w:rsidR="00F71E9A">
        <w:t>age points</w:t>
      </w:r>
      <w:r w:rsidR="00CA1A1F">
        <w:t xml:space="preserve"> of GDP</w:t>
      </w:r>
      <w:r w:rsidR="00C83D66">
        <w:t>)</w:t>
      </w:r>
      <w:r w:rsidR="00E0432F">
        <w:t xml:space="preserve"> and supporting activities</w:t>
      </w:r>
      <w:r w:rsidR="00FD7AB0">
        <w:t>, which</w:t>
      </w:r>
      <w:r w:rsidR="00C83D66">
        <w:t xml:space="preserve"> </w:t>
      </w:r>
      <w:r w:rsidR="007B02BB">
        <w:t>w</w:t>
      </w:r>
      <w:r w:rsidR="00F92A58">
        <w:t>ould</w:t>
      </w:r>
      <w:r w:rsidR="00C83D66">
        <w:t xml:space="preserve"> be </w:t>
      </w:r>
      <w:r w:rsidR="009E75F7">
        <w:t xml:space="preserve">only </w:t>
      </w:r>
      <w:r w:rsidR="00C83D66">
        <w:t>partially offset by</w:t>
      </w:r>
      <w:r w:rsidR="00E52923">
        <w:t xml:space="preserve"> a positive contribution from tourism</w:t>
      </w:r>
      <w:r w:rsidR="00C83D66">
        <w:t xml:space="preserve">: </w:t>
      </w:r>
      <w:r w:rsidR="00527FA0">
        <w:t xml:space="preserve">stayover arrivals are likely to show double-digit growth </w:t>
      </w:r>
      <w:r w:rsidR="007B02BB">
        <w:t>in 2019</w:t>
      </w:r>
      <w:r w:rsidR="00F92A58">
        <w:t xml:space="preserve">. </w:t>
      </w:r>
      <w:r w:rsidR="00F15037">
        <w:t>Ongoing and planned</w:t>
      </w:r>
      <w:r w:rsidR="00F92A58">
        <w:t xml:space="preserve"> </w:t>
      </w:r>
      <w:r w:rsidR="00E15FC9">
        <w:t xml:space="preserve">hotel </w:t>
      </w:r>
      <w:r w:rsidR="00617E51">
        <w:t>construction</w:t>
      </w:r>
      <w:r w:rsidR="00E15FC9">
        <w:t xml:space="preserve"> </w:t>
      </w:r>
      <w:r w:rsidR="00565464">
        <w:t>is</w:t>
      </w:r>
      <w:r w:rsidR="00617E51">
        <w:t xml:space="preserve"> expected to increase room capacity from 7</w:t>
      </w:r>
      <w:r>
        <w:t>,</w:t>
      </w:r>
      <w:r w:rsidR="00617E51">
        <w:t xml:space="preserve">500 in 2018 to </w:t>
      </w:r>
      <w:r w:rsidR="003B04A1">
        <w:t>almost 10,000</w:t>
      </w:r>
      <w:r>
        <w:t xml:space="preserve"> in 2022. </w:t>
      </w:r>
      <w:r w:rsidR="009E75F7">
        <w:t>T</w:t>
      </w:r>
      <w:r>
        <w:t xml:space="preserve">ourism </w:t>
      </w:r>
      <w:r w:rsidR="009E75F7">
        <w:t xml:space="preserve">from Venezuela </w:t>
      </w:r>
      <w:r>
        <w:t>has been largely replaced</w:t>
      </w:r>
      <w:r w:rsidR="00617E51">
        <w:t xml:space="preserve"> by </w:t>
      </w:r>
      <w:r w:rsidR="003B04A1">
        <w:t xml:space="preserve">more tourism from Europe, </w:t>
      </w:r>
      <w:r w:rsidR="00FE221A">
        <w:t>the U.S.</w:t>
      </w:r>
      <w:r w:rsidR="001B3DB6">
        <w:t>,</w:t>
      </w:r>
      <w:r w:rsidR="00FE221A">
        <w:t xml:space="preserve"> and</w:t>
      </w:r>
      <w:r w:rsidR="008641A0">
        <w:t xml:space="preserve"> </w:t>
      </w:r>
      <w:r w:rsidR="00FD7AB0">
        <w:t>Latin America</w:t>
      </w:r>
      <w:r w:rsidR="008641A0">
        <w:t>n countries</w:t>
      </w:r>
      <w:r w:rsidR="00FE221A">
        <w:t xml:space="preserve">. The outlook is subject to significant </w:t>
      </w:r>
      <w:r w:rsidR="00E52923">
        <w:t xml:space="preserve">downside </w:t>
      </w:r>
      <w:r w:rsidR="00FE221A">
        <w:t>risks—</w:t>
      </w:r>
      <w:r w:rsidR="001B09B0">
        <w:t xml:space="preserve">a </w:t>
      </w:r>
      <w:r w:rsidR="00FD7AB0">
        <w:t xml:space="preserve">permanent </w:t>
      </w:r>
      <w:r w:rsidR="00E52923">
        <w:t>shutdown</w:t>
      </w:r>
      <w:r w:rsidR="00FD7AB0">
        <w:t xml:space="preserve"> of</w:t>
      </w:r>
      <w:r w:rsidR="00E52923">
        <w:t xml:space="preserve"> the refinery </w:t>
      </w:r>
      <w:r w:rsidR="009E75F7">
        <w:t>w</w:t>
      </w:r>
      <w:r w:rsidR="00E52923">
        <w:t>ould deepen the recession considerably and exert significant pressure on public finances</w:t>
      </w:r>
      <w:r w:rsidR="00C83D66">
        <w:t xml:space="preserve"> via higher social spending</w:t>
      </w:r>
      <w:r w:rsidR="00E52923">
        <w:t>.</w:t>
      </w:r>
      <w:r w:rsidR="00D30A2A">
        <w:rPr>
          <w:rStyle w:val="FootnoteReference"/>
        </w:rPr>
        <w:footnoteReference w:id="2"/>
      </w:r>
      <w:r w:rsidR="0013541C">
        <w:t xml:space="preserve"> </w:t>
      </w:r>
      <w:r w:rsidR="00BC02C1">
        <w:t xml:space="preserve">While </w:t>
      </w:r>
      <w:r w:rsidR="0013541C">
        <w:t>finding a new operator for the refinery would improve the outlook</w:t>
      </w:r>
      <w:r w:rsidR="00BC02C1">
        <w:t>, it may prove difficult</w:t>
      </w:r>
      <w:r w:rsidR="0013541C">
        <w:t xml:space="preserve">. </w:t>
      </w:r>
      <w:r w:rsidR="009E75F7">
        <w:t>The inflow of u</w:t>
      </w:r>
      <w:r w:rsidR="00A50C19">
        <w:t xml:space="preserve">ndocumented </w:t>
      </w:r>
      <w:r w:rsidR="00C83D66">
        <w:t xml:space="preserve">Venezuelan </w:t>
      </w:r>
      <w:r w:rsidR="00A50C19">
        <w:t xml:space="preserve">immigrants </w:t>
      </w:r>
      <w:r w:rsidR="009E75F7">
        <w:t>is</w:t>
      </w:r>
      <w:r w:rsidR="00321E42">
        <w:t xml:space="preserve"> </w:t>
      </w:r>
      <w:r w:rsidR="009E75F7">
        <w:t>generating</w:t>
      </w:r>
      <w:r w:rsidR="00FD7AB0">
        <w:t xml:space="preserve"> additional</w:t>
      </w:r>
      <w:r w:rsidR="00A50C19">
        <w:t xml:space="preserve"> pressure on public finances</w:t>
      </w:r>
      <w:r w:rsidR="00E31EAF">
        <w:t>.</w:t>
      </w:r>
      <w:r w:rsidR="001B3DB6">
        <w:t xml:space="preserve"> </w:t>
      </w:r>
    </w:p>
    <w:p w14:paraId="5FF33565" w14:textId="700C7441" w:rsidR="00A50C19" w:rsidRDefault="00617E51" w:rsidP="00683F9E">
      <w:pPr>
        <w:spacing w:after="240"/>
      </w:pPr>
      <w:r>
        <w:rPr>
          <w:b/>
        </w:rPr>
        <w:t xml:space="preserve">The </w:t>
      </w:r>
      <w:r w:rsidR="001F6A09">
        <w:rPr>
          <w:b/>
        </w:rPr>
        <w:t xml:space="preserve">deep recession </w:t>
      </w:r>
      <w:r w:rsidR="00EE173B">
        <w:rPr>
          <w:b/>
        </w:rPr>
        <w:t xml:space="preserve">has </w:t>
      </w:r>
      <w:r w:rsidR="00BC02C1">
        <w:rPr>
          <w:b/>
        </w:rPr>
        <w:t>heightened</w:t>
      </w:r>
      <w:r w:rsidR="00547C11">
        <w:rPr>
          <w:b/>
        </w:rPr>
        <w:t xml:space="preserve"> challenges </w:t>
      </w:r>
      <w:r w:rsidR="00BC02C1">
        <w:rPr>
          <w:b/>
        </w:rPr>
        <w:t>in</w:t>
      </w:r>
      <w:r w:rsidR="00C83D66" w:rsidRPr="00C83D66">
        <w:rPr>
          <w:b/>
        </w:rPr>
        <w:t xml:space="preserve"> </w:t>
      </w:r>
      <w:r w:rsidR="00C83D66">
        <w:rPr>
          <w:b/>
        </w:rPr>
        <w:t>public financial management and</w:t>
      </w:r>
      <w:r w:rsidR="001F6A09">
        <w:rPr>
          <w:b/>
        </w:rPr>
        <w:t xml:space="preserve"> </w:t>
      </w:r>
      <w:r w:rsidR="00547C11">
        <w:rPr>
          <w:b/>
        </w:rPr>
        <w:t>led to a</w:t>
      </w:r>
      <w:r w:rsidR="004B2F6C">
        <w:rPr>
          <w:b/>
        </w:rPr>
        <w:t xml:space="preserve"> deviation from the current fiscal rule</w:t>
      </w:r>
      <w:r w:rsidR="001F6A09">
        <w:rPr>
          <w:b/>
        </w:rPr>
        <w:t xml:space="preserve"> despite adjustment</w:t>
      </w:r>
      <w:r w:rsidR="00547C11">
        <w:rPr>
          <w:b/>
        </w:rPr>
        <w:t xml:space="preserve"> measures</w:t>
      </w:r>
      <w:r w:rsidR="00262465">
        <w:rPr>
          <w:b/>
        </w:rPr>
        <w:t>.</w:t>
      </w:r>
      <w:r>
        <w:t xml:space="preserve"> As tax revenue fell by 1 percent of GDP in 2018, the authorities compressed expenditure and reduced the current </w:t>
      </w:r>
      <w:r w:rsidR="0019784C">
        <w:t xml:space="preserve">fiscal </w:t>
      </w:r>
      <w:r>
        <w:lastRenderedPageBreak/>
        <w:t>deficit</w:t>
      </w:r>
      <w:r w:rsidR="003C3E52">
        <w:t xml:space="preserve"> (in authorities’ definition)</w:t>
      </w:r>
      <w:r>
        <w:t xml:space="preserve"> to </w:t>
      </w:r>
      <w:r w:rsidR="00231339">
        <w:t>1.4</w:t>
      </w:r>
      <w:r>
        <w:t xml:space="preserve"> percent of GDP</w:t>
      </w:r>
      <w:r w:rsidR="00183B96">
        <w:t xml:space="preserve"> (Tables 2-3)</w:t>
      </w:r>
      <w:r>
        <w:t>.</w:t>
      </w:r>
      <w:r w:rsidR="00513CC7">
        <w:rPr>
          <w:rStyle w:val="FootnoteReference"/>
        </w:rPr>
        <w:footnoteReference w:id="3"/>
      </w:r>
      <w:r>
        <w:t xml:space="preserve"> </w:t>
      </w:r>
      <w:r w:rsidR="00007412">
        <w:t>At the same time, the stock of</w:t>
      </w:r>
      <w:r w:rsidR="009117E0">
        <w:t xml:space="preserve"> uncollected tax assessment</w:t>
      </w:r>
      <w:r w:rsidR="00007412">
        <w:t>s</w:t>
      </w:r>
      <w:r w:rsidR="009117E0">
        <w:t xml:space="preserve"> </w:t>
      </w:r>
      <w:r w:rsidR="00007412">
        <w:t xml:space="preserve">has </w:t>
      </w:r>
      <w:r w:rsidR="009117E0">
        <w:t>increased</w:t>
      </w:r>
      <w:r w:rsidR="00007412">
        <w:t xml:space="preserve"> considerably</w:t>
      </w:r>
      <w:r w:rsidR="009117E0">
        <w:t xml:space="preserve"> and </w:t>
      </w:r>
      <w:r w:rsidR="00007412">
        <w:t xml:space="preserve">difficulties with </w:t>
      </w:r>
      <w:r w:rsidR="00A50C19">
        <w:t xml:space="preserve">expenditure control led to </w:t>
      </w:r>
      <w:r w:rsidR="00BC02C1">
        <w:t xml:space="preserve">some </w:t>
      </w:r>
      <w:r w:rsidR="009117E0">
        <w:t>spending overruns</w:t>
      </w:r>
      <w:r w:rsidR="00A50C19">
        <w:t xml:space="preserve">. </w:t>
      </w:r>
      <w:r w:rsidR="009E75F7">
        <w:t>C</w:t>
      </w:r>
      <w:r w:rsidR="00224698">
        <w:t>entral government debt increased from about 51 percent of GDP in 2016 to close to 5</w:t>
      </w:r>
      <w:r w:rsidR="00A0527B">
        <w:t>5</w:t>
      </w:r>
      <w:r w:rsidR="00224698">
        <w:t xml:space="preserve"> percent of GDP in 2018.</w:t>
      </w:r>
    </w:p>
    <w:p w14:paraId="10544B52" w14:textId="1FF9EFDC" w:rsidR="004E7525" w:rsidRDefault="00A50C19" w:rsidP="00683F9E">
      <w:pPr>
        <w:spacing w:after="120"/>
      </w:pPr>
      <w:r w:rsidRPr="00A50C19">
        <w:rPr>
          <w:b/>
        </w:rPr>
        <w:t>The authoritie</w:t>
      </w:r>
      <w:r w:rsidR="00100A42">
        <w:rPr>
          <w:b/>
        </w:rPr>
        <w:t xml:space="preserve">s </w:t>
      </w:r>
      <w:r w:rsidR="00D719A3">
        <w:rPr>
          <w:b/>
        </w:rPr>
        <w:t xml:space="preserve">have </w:t>
      </w:r>
      <w:r w:rsidR="00D95689">
        <w:rPr>
          <w:b/>
        </w:rPr>
        <w:t>elaborated</w:t>
      </w:r>
      <w:r w:rsidR="00100A42">
        <w:rPr>
          <w:b/>
        </w:rPr>
        <w:t xml:space="preserve"> plans</w:t>
      </w:r>
      <w:r w:rsidR="008618EA">
        <w:rPr>
          <w:b/>
        </w:rPr>
        <w:t xml:space="preserve"> to re</w:t>
      </w:r>
      <w:r w:rsidR="00D95689">
        <w:rPr>
          <w:b/>
        </w:rPr>
        <w:t>store</w:t>
      </w:r>
      <w:r w:rsidR="00007412">
        <w:rPr>
          <w:b/>
        </w:rPr>
        <w:t xml:space="preserve"> </w:t>
      </w:r>
      <w:r w:rsidR="008618EA">
        <w:rPr>
          <w:b/>
        </w:rPr>
        <w:t xml:space="preserve">economic growth </w:t>
      </w:r>
      <w:r w:rsidR="00007412">
        <w:rPr>
          <w:b/>
        </w:rPr>
        <w:t xml:space="preserve">and </w:t>
      </w:r>
      <w:r w:rsidRPr="00A50C19">
        <w:rPr>
          <w:b/>
        </w:rPr>
        <w:t>improve public finances.</w:t>
      </w:r>
      <w:r w:rsidR="00007412">
        <w:rPr>
          <w:b/>
        </w:rPr>
        <w:t xml:space="preserve"> </w:t>
      </w:r>
      <w:r w:rsidR="00007412" w:rsidRPr="00007412">
        <w:t>The</w:t>
      </w:r>
      <w:r w:rsidR="00D95689">
        <w:t>ir</w:t>
      </w:r>
      <w:r w:rsidR="00007412">
        <w:t xml:space="preserve"> strategy</w:t>
      </w:r>
      <w:r w:rsidR="00632D68">
        <w:t xml:space="preserve"> aim</w:t>
      </w:r>
      <w:r w:rsidR="00D95689">
        <w:t>s</w:t>
      </w:r>
      <w:r w:rsidR="00632D68">
        <w:t xml:space="preserve"> at </w:t>
      </w:r>
      <w:r w:rsidR="00D719A3">
        <w:t xml:space="preserve">increasing </w:t>
      </w:r>
      <w:r w:rsidR="00632D68">
        <w:t xml:space="preserve">potential growth, enhancing public financial management and improving </w:t>
      </w:r>
      <w:r w:rsidR="00D719A3">
        <w:t xml:space="preserve">the </w:t>
      </w:r>
      <w:r w:rsidR="00632D68">
        <w:t>functioning of the public sector. The</w:t>
      </w:r>
      <w:r w:rsidR="00D95689">
        <w:t>y</w:t>
      </w:r>
      <w:r w:rsidR="00007412">
        <w:rPr>
          <w:b/>
        </w:rPr>
        <w:t xml:space="preserve"> </w:t>
      </w:r>
      <w:r w:rsidR="00632D68">
        <w:t>envisage</w:t>
      </w:r>
      <w:r w:rsidR="00007412" w:rsidRPr="00100A42">
        <w:t xml:space="preserve"> </w:t>
      </w:r>
      <w:r w:rsidR="00632D68">
        <w:t xml:space="preserve">important </w:t>
      </w:r>
      <w:r w:rsidR="00007412" w:rsidRPr="00100A42">
        <w:t>structural reform</w:t>
      </w:r>
      <w:r w:rsidR="00632D68">
        <w:t xml:space="preserve">s </w:t>
      </w:r>
      <w:r w:rsidR="00D95689">
        <w:t xml:space="preserve">to </w:t>
      </w:r>
      <w:r w:rsidR="00007412" w:rsidRPr="00100A42">
        <w:t>r</w:t>
      </w:r>
      <w:r w:rsidR="00632D68">
        <w:t>educ</w:t>
      </w:r>
      <w:r w:rsidR="00D95689">
        <w:t>e</w:t>
      </w:r>
      <w:r w:rsidR="00632D68">
        <w:t xml:space="preserve"> red tape</w:t>
      </w:r>
      <w:r w:rsidR="00100A42">
        <w:t xml:space="preserve"> </w:t>
      </w:r>
      <w:r w:rsidR="006548CB">
        <w:t xml:space="preserve">and </w:t>
      </w:r>
      <w:r w:rsidR="00100A42">
        <w:t>improv</w:t>
      </w:r>
      <w:r w:rsidR="00D95689">
        <w:t>e the</w:t>
      </w:r>
      <w:r w:rsidR="00100A42">
        <w:t xml:space="preserve"> business climate</w:t>
      </w:r>
      <w:bookmarkStart w:id="2" w:name="_Hlk10619660"/>
      <w:r w:rsidR="00007412" w:rsidRPr="00100A42">
        <w:t>.</w:t>
      </w:r>
      <w:r w:rsidR="00632D68">
        <w:t xml:space="preserve"> </w:t>
      </w:r>
      <w:bookmarkEnd w:id="2"/>
      <w:r w:rsidR="00632D68">
        <w:t xml:space="preserve">To improve revenue administration, they have appointed a special manager to lead various tax compliance projects </w:t>
      </w:r>
      <w:r w:rsidR="00D719A3">
        <w:t xml:space="preserve">and </w:t>
      </w:r>
      <w:r w:rsidR="00632D68">
        <w:t>are</w:t>
      </w:r>
      <w:r w:rsidR="008618EA">
        <w:t xml:space="preserve"> expecting to start fully utilizing a</w:t>
      </w:r>
      <w:r w:rsidR="00632D68">
        <w:t xml:space="preserve"> new</w:t>
      </w:r>
      <w:r w:rsidR="00D76F9C">
        <w:t xml:space="preserve"> IT</w:t>
      </w:r>
      <w:r w:rsidR="00632D68">
        <w:t xml:space="preserve"> system</w:t>
      </w:r>
      <w:r w:rsidR="00F41AEB">
        <w:t xml:space="preserve"> </w:t>
      </w:r>
      <w:r w:rsidR="00632D68">
        <w:t>installed in 2018.</w:t>
      </w:r>
      <w:r w:rsidR="00921945">
        <w:t xml:space="preserve"> </w:t>
      </w:r>
      <w:r w:rsidR="00D95689">
        <w:t>Regarding</w:t>
      </w:r>
      <w:r w:rsidR="00921945">
        <w:t xml:space="preserve"> tax policy, they are</w:t>
      </w:r>
      <w:r w:rsidR="00632D68">
        <w:t xml:space="preserve"> planning to increase sales tax and excises from July 1, </w:t>
      </w:r>
      <w:r w:rsidR="00D95689">
        <w:t xml:space="preserve">2019 </w:t>
      </w:r>
      <w:r w:rsidR="00632D68">
        <w:t>followed by a deeper overhaul of the tax system next year</w:t>
      </w:r>
      <w:r w:rsidR="00921945">
        <w:t>. To reduce expenditure</w:t>
      </w:r>
      <w:r w:rsidR="00D719A3">
        <w:t>s</w:t>
      </w:r>
      <w:r w:rsidR="00921945">
        <w:t xml:space="preserve">, they </w:t>
      </w:r>
      <w:r w:rsidR="00D719A3">
        <w:t xml:space="preserve">have </w:t>
      </w:r>
      <w:r w:rsidR="00921945">
        <w:t xml:space="preserve">introduced a wage and hiring freeze and tightened expenditure controls. </w:t>
      </w:r>
      <w:r w:rsidR="00BC02C1">
        <w:t>The</w:t>
      </w:r>
      <w:r w:rsidR="00921945">
        <w:t xml:space="preserve"> supplementary budget</w:t>
      </w:r>
      <w:r w:rsidR="00F71E9A">
        <w:t>, which is expected to be</w:t>
      </w:r>
      <w:r w:rsidR="00921945">
        <w:t xml:space="preserve"> </w:t>
      </w:r>
      <w:r w:rsidR="00F71E9A">
        <w:t xml:space="preserve">approved in the summer, </w:t>
      </w:r>
      <w:r w:rsidR="00BC02C1">
        <w:t>introduces</w:t>
      </w:r>
      <w:r w:rsidR="00921945">
        <w:t xml:space="preserve"> additional cost-cutting measures, including</w:t>
      </w:r>
      <w:r>
        <w:t xml:space="preserve"> voluntary early retirement</w:t>
      </w:r>
      <w:r w:rsidR="00CD7103">
        <w:t xml:space="preserve"> for civil servants </w:t>
      </w:r>
      <w:r w:rsidR="00BC02C1">
        <w:t>aged</w:t>
      </w:r>
      <w:r w:rsidR="00CD7103">
        <w:t xml:space="preserve"> 59</w:t>
      </w:r>
      <w:r w:rsidR="00BC02C1">
        <w:t>-</w:t>
      </w:r>
      <w:r w:rsidR="00CD7103">
        <w:t>62</w:t>
      </w:r>
      <w:r w:rsidR="00BC02C1">
        <w:t xml:space="preserve"> (</w:t>
      </w:r>
      <w:r>
        <w:t>which entails upfront costs in 2020 followed by savings in the</w:t>
      </w:r>
      <w:r w:rsidR="00921945">
        <w:t xml:space="preserve"> following years</w:t>
      </w:r>
      <w:r w:rsidR="00BC02C1">
        <w:t>)</w:t>
      </w:r>
      <w:r w:rsidR="00921945">
        <w:t xml:space="preserve"> and </w:t>
      </w:r>
      <w:r w:rsidR="006E1D49">
        <w:t xml:space="preserve">also </w:t>
      </w:r>
      <w:r w:rsidR="001F6A09">
        <w:t>cost-saving measures in the health sector</w:t>
      </w:r>
      <w:r w:rsidR="00921945">
        <w:t xml:space="preserve"> </w:t>
      </w:r>
      <w:r w:rsidR="003C11BF">
        <w:t>such as reducing costs within sickness insurance</w:t>
      </w:r>
      <w:r w:rsidR="00220B5E">
        <w:t xml:space="preserve"> through </w:t>
      </w:r>
      <w:r w:rsidR="00BC59C9">
        <w:t>transferring</w:t>
      </w:r>
      <w:r w:rsidR="00220B5E">
        <w:t xml:space="preserve"> more responsibility from the social insurance system to the employers</w:t>
      </w:r>
      <w:r>
        <w:t xml:space="preserve">. </w:t>
      </w:r>
      <w:r w:rsidR="00D719A3">
        <w:t>Additionally, t</w:t>
      </w:r>
      <w:r w:rsidR="004E7525">
        <w:t>hey</w:t>
      </w:r>
      <w:r w:rsidR="00D719A3">
        <w:t xml:space="preserve"> have </w:t>
      </w:r>
      <w:r w:rsidR="004E7525">
        <w:t>developed a roadmap for improving public financial management aiming at an unqualified auditor’s opinion in 2021.</w:t>
      </w:r>
    </w:p>
    <w:p w14:paraId="0CDA4449" w14:textId="66F7086A" w:rsidR="00E10E27" w:rsidRDefault="00BC02C1" w:rsidP="00F56C4D">
      <w:pPr>
        <w:spacing w:after="240"/>
      </w:pPr>
      <w:r>
        <w:rPr>
          <w:b/>
        </w:rPr>
        <w:t xml:space="preserve">The </w:t>
      </w:r>
      <w:r w:rsidR="008618EA">
        <w:rPr>
          <w:b/>
        </w:rPr>
        <w:t>baseline scenario</w:t>
      </w:r>
      <w:r w:rsidR="00A0527B">
        <w:rPr>
          <w:b/>
        </w:rPr>
        <w:t xml:space="preserve"> (</w:t>
      </w:r>
      <w:r w:rsidR="00F65550">
        <w:rPr>
          <w:b/>
        </w:rPr>
        <w:t xml:space="preserve">Figure 2 and </w:t>
      </w:r>
      <w:r w:rsidR="00A0527B">
        <w:rPr>
          <w:b/>
        </w:rPr>
        <w:t>Tables 1-5</w:t>
      </w:r>
      <w:r w:rsidR="00A51F59">
        <w:rPr>
          <w:b/>
        </w:rPr>
        <w:t>)</w:t>
      </w:r>
      <w:r w:rsidR="009A3990">
        <w:rPr>
          <w:b/>
        </w:rPr>
        <w:t xml:space="preserve"> </w:t>
      </w:r>
      <w:r>
        <w:rPr>
          <w:b/>
        </w:rPr>
        <w:t>incorporates</w:t>
      </w:r>
      <w:r w:rsidR="008618EA">
        <w:rPr>
          <w:b/>
        </w:rPr>
        <w:t xml:space="preserve"> </w:t>
      </w:r>
      <w:r>
        <w:rPr>
          <w:b/>
        </w:rPr>
        <w:t xml:space="preserve">the </w:t>
      </w:r>
      <w:r w:rsidR="008618EA">
        <w:rPr>
          <w:b/>
        </w:rPr>
        <w:t>implement</w:t>
      </w:r>
      <w:r>
        <w:rPr>
          <w:b/>
        </w:rPr>
        <w:t>ation of</w:t>
      </w:r>
      <w:r w:rsidR="008618EA">
        <w:rPr>
          <w:b/>
        </w:rPr>
        <w:t xml:space="preserve"> the </w:t>
      </w:r>
      <w:r w:rsidR="00A03B28">
        <w:rPr>
          <w:b/>
        </w:rPr>
        <w:t xml:space="preserve">authorities’ announced measures: </w:t>
      </w:r>
      <w:r w:rsidR="007E1F7F">
        <w:rPr>
          <w:b/>
        </w:rPr>
        <w:t xml:space="preserve">short-term tax increases, </w:t>
      </w:r>
      <w:r w:rsidR="00512A69">
        <w:rPr>
          <w:b/>
        </w:rPr>
        <w:t>hiring and wage freezes, early retirement</w:t>
      </w:r>
      <w:r w:rsidR="007E1F7F">
        <w:rPr>
          <w:b/>
        </w:rPr>
        <w:t xml:space="preserve"> </w:t>
      </w:r>
      <w:r w:rsidR="00E15FC9">
        <w:rPr>
          <w:b/>
        </w:rPr>
        <w:t xml:space="preserve">package </w:t>
      </w:r>
      <w:r w:rsidR="007E1F7F">
        <w:rPr>
          <w:b/>
        </w:rPr>
        <w:t>and savings in the health area</w:t>
      </w:r>
      <w:r w:rsidR="00A50C19" w:rsidRPr="00527FA0">
        <w:rPr>
          <w:b/>
        </w:rPr>
        <w:t>.</w:t>
      </w:r>
      <w:r w:rsidR="002E3704">
        <w:t xml:space="preserve"> </w:t>
      </w:r>
      <w:r w:rsidR="00CE67D4">
        <w:t xml:space="preserve">These measures </w:t>
      </w:r>
      <w:r>
        <w:t>would</w:t>
      </w:r>
      <w:r w:rsidR="00E15FC9">
        <w:t xml:space="preserve"> </w:t>
      </w:r>
      <w:r w:rsidR="00CE67D4">
        <w:t xml:space="preserve">reduce the </w:t>
      </w:r>
      <w:r w:rsidR="007F2883">
        <w:t xml:space="preserve">current </w:t>
      </w:r>
      <w:r w:rsidR="0019784C">
        <w:t>fiscal</w:t>
      </w:r>
      <w:r w:rsidR="007F2883">
        <w:t xml:space="preserve"> </w:t>
      </w:r>
      <w:r w:rsidR="00CE67D4">
        <w:t xml:space="preserve">deficit to </w:t>
      </w:r>
      <w:r w:rsidR="00E15FC9">
        <w:t>0.9</w:t>
      </w:r>
      <w:r w:rsidR="009C5465">
        <w:t xml:space="preserve"> percent of GDP by 2021</w:t>
      </w:r>
      <w:r w:rsidR="00466F32">
        <w:t>, short of</w:t>
      </w:r>
      <w:r w:rsidR="009C5465">
        <w:t xml:space="preserve"> </w:t>
      </w:r>
      <w:r w:rsidR="00617E51">
        <w:t xml:space="preserve">the authorities’ </w:t>
      </w:r>
      <w:r w:rsidR="00582169">
        <w:t xml:space="preserve">own </w:t>
      </w:r>
      <w:r w:rsidR="00617E51">
        <w:t>balanced budget</w:t>
      </w:r>
      <w:r w:rsidR="00582169">
        <w:t xml:space="preserve"> target, </w:t>
      </w:r>
      <w:proofErr w:type="gramStart"/>
      <w:r w:rsidR="00582169">
        <w:t>on account of</w:t>
      </w:r>
      <w:proofErr w:type="gramEnd"/>
      <w:r w:rsidR="00582169">
        <w:t xml:space="preserve"> still</w:t>
      </w:r>
      <w:r w:rsidR="00466F32">
        <w:t xml:space="preserve"> weak</w:t>
      </w:r>
      <w:r w:rsidR="00617E51">
        <w:t xml:space="preserve"> </w:t>
      </w:r>
      <w:r w:rsidR="000A65F7">
        <w:t xml:space="preserve">revenues </w:t>
      </w:r>
      <w:r w:rsidR="00466F32">
        <w:t>and</w:t>
      </w:r>
      <w:r w:rsidR="000A65F7">
        <w:t xml:space="preserve"> higher </w:t>
      </w:r>
      <w:r w:rsidR="00617E51">
        <w:t>social protection expenditures</w:t>
      </w:r>
      <w:r w:rsidR="00582169">
        <w:t xml:space="preserve"> partly due</w:t>
      </w:r>
      <w:r w:rsidR="00617E51">
        <w:t xml:space="preserve"> to higher operational costs at the new hospital.</w:t>
      </w:r>
      <w:r w:rsidR="009C5465">
        <w:t xml:space="preserve"> </w:t>
      </w:r>
      <w:r w:rsidR="00582169">
        <w:t>As a result,</w:t>
      </w:r>
      <w:r w:rsidR="009C5465">
        <w:t xml:space="preserve"> the stock of government debt </w:t>
      </w:r>
      <w:r w:rsidR="00713977">
        <w:t xml:space="preserve">would </w:t>
      </w:r>
      <w:r w:rsidR="009C5465">
        <w:t>increase to</w:t>
      </w:r>
      <w:r w:rsidR="004F7A23">
        <w:t xml:space="preserve"> 6</w:t>
      </w:r>
      <w:r w:rsidR="00A0527B">
        <w:t>2</w:t>
      </w:r>
      <w:r w:rsidR="008618EA">
        <w:t xml:space="preserve"> percent of GDP </w:t>
      </w:r>
      <w:r w:rsidR="00D61169">
        <w:t>by 2024</w:t>
      </w:r>
      <w:r w:rsidR="008618EA">
        <w:t>.</w:t>
      </w:r>
      <w:r w:rsidR="00466F32">
        <w:rPr>
          <w:b/>
        </w:rPr>
        <w:t xml:space="preserve"> </w:t>
      </w:r>
      <w:r w:rsidR="002E3704" w:rsidRPr="001058DA">
        <w:t>Reaching the</w:t>
      </w:r>
      <w:r w:rsidR="00224698" w:rsidRPr="001058DA">
        <w:t xml:space="preserve"> </w:t>
      </w:r>
      <w:r w:rsidR="008125EB" w:rsidRPr="001058DA">
        <w:t xml:space="preserve">authorities’ </w:t>
      </w:r>
      <w:r w:rsidR="00224698" w:rsidRPr="001058DA">
        <w:t>objective of a balanced budget by 2021</w:t>
      </w:r>
      <w:r w:rsidR="00512A69" w:rsidRPr="001058DA">
        <w:t xml:space="preserve"> w</w:t>
      </w:r>
      <w:r w:rsidR="003C3E52" w:rsidRPr="001058DA">
        <w:t>ould</w:t>
      </w:r>
      <w:r w:rsidR="006D772B" w:rsidRPr="001058DA">
        <w:t xml:space="preserve"> </w:t>
      </w:r>
      <w:r w:rsidR="002E3704" w:rsidRPr="001058DA">
        <w:t>require</w:t>
      </w:r>
      <w:r w:rsidR="00D61169" w:rsidRPr="001058DA">
        <w:t xml:space="preserve"> </w:t>
      </w:r>
      <w:r w:rsidR="009A3990">
        <w:t xml:space="preserve">not only </w:t>
      </w:r>
      <w:r w:rsidR="007E1F7F" w:rsidRPr="001058DA">
        <w:t xml:space="preserve">strong implementation of existing plans </w:t>
      </w:r>
      <w:r w:rsidR="009A3990">
        <w:t>but also</w:t>
      </w:r>
      <w:r w:rsidR="007E1F7F" w:rsidRPr="001058DA">
        <w:t xml:space="preserve"> </w:t>
      </w:r>
      <w:r w:rsidR="009A3990">
        <w:t xml:space="preserve">some </w:t>
      </w:r>
      <w:r w:rsidR="00D2289C" w:rsidRPr="001058DA">
        <w:t xml:space="preserve">additional </w:t>
      </w:r>
      <w:r w:rsidR="00FA4590" w:rsidRPr="001058DA">
        <w:t>measures</w:t>
      </w:r>
      <w:r w:rsidR="00466F32">
        <w:t xml:space="preserve"> as illustrated by t</w:t>
      </w:r>
      <w:r w:rsidR="00204064">
        <w:t xml:space="preserve">he </w:t>
      </w:r>
      <w:r w:rsidR="009A3990">
        <w:t xml:space="preserve">staff’s </w:t>
      </w:r>
      <w:r w:rsidR="00204064">
        <w:t xml:space="preserve">adjustment scenario </w:t>
      </w:r>
      <w:r w:rsidR="00183B96">
        <w:t>(Tables 6-</w:t>
      </w:r>
      <w:r w:rsidR="00C35D18">
        <w:t>9</w:t>
      </w:r>
      <w:r w:rsidR="00183B96">
        <w:t>)</w:t>
      </w:r>
      <w:r w:rsidR="00B73F0F">
        <w:t>.</w:t>
      </w:r>
      <w:r w:rsidR="00204064">
        <w:t xml:space="preserve"> </w:t>
      </w:r>
      <w:r w:rsidR="007E1F7F">
        <w:t>Wherea</w:t>
      </w:r>
      <w:r w:rsidR="00A9207B">
        <w:t xml:space="preserve">s this </w:t>
      </w:r>
      <w:r w:rsidR="009A3990">
        <w:t xml:space="preserve">gap </w:t>
      </w:r>
      <w:r w:rsidR="00A9207B">
        <w:t>could be partially filled by</w:t>
      </w:r>
      <w:r w:rsidR="007E1F7F">
        <w:t xml:space="preserve"> </w:t>
      </w:r>
      <w:r w:rsidR="00A9207B">
        <w:t xml:space="preserve">better </w:t>
      </w:r>
      <w:r w:rsidR="007E1F7F">
        <w:t xml:space="preserve">revenue administration and </w:t>
      </w:r>
      <w:r w:rsidR="008B66DD">
        <w:t xml:space="preserve">stronger expenditure controls, </w:t>
      </w:r>
      <w:r w:rsidR="00A0527B">
        <w:t>new</w:t>
      </w:r>
      <w:r w:rsidR="008B66DD">
        <w:t xml:space="preserve"> measures are likely to be needed</w:t>
      </w:r>
      <w:r w:rsidR="00247062">
        <w:t>.</w:t>
      </w:r>
    </w:p>
    <w:p w14:paraId="6DD65490" w14:textId="5E140A98" w:rsidR="00D2289C" w:rsidRPr="001058DA" w:rsidRDefault="00D2289C" w:rsidP="00F56C4D">
      <w:pPr>
        <w:spacing w:after="240"/>
      </w:pPr>
      <w:r>
        <w:rPr>
          <w:b/>
        </w:rPr>
        <w:t>In staff’s view,</w:t>
      </w:r>
      <w:r w:rsidR="006D772B">
        <w:rPr>
          <w:b/>
        </w:rPr>
        <w:t xml:space="preserve"> </w:t>
      </w:r>
      <w:r w:rsidR="00A9207B">
        <w:rPr>
          <w:b/>
        </w:rPr>
        <w:t>consistent</w:t>
      </w:r>
      <w:r w:rsidR="00441EAD">
        <w:rPr>
          <w:b/>
        </w:rPr>
        <w:t xml:space="preserve"> implementation</w:t>
      </w:r>
      <w:r w:rsidR="00A9207B">
        <w:rPr>
          <w:b/>
        </w:rPr>
        <w:t xml:space="preserve"> of quality measures is</w:t>
      </w:r>
      <w:r w:rsidR="006D772B">
        <w:rPr>
          <w:b/>
        </w:rPr>
        <w:t xml:space="preserve"> </w:t>
      </w:r>
      <w:r w:rsidR="00A9207B">
        <w:rPr>
          <w:b/>
        </w:rPr>
        <w:t xml:space="preserve">more </w:t>
      </w:r>
      <w:r w:rsidR="006D772B">
        <w:rPr>
          <w:b/>
        </w:rPr>
        <w:t xml:space="preserve">important </w:t>
      </w:r>
      <w:r w:rsidR="00441EAD">
        <w:rPr>
          <w:b/>
        </w:rPr>
        <w:t>for reaching medium</w:t>
      </w:r>
      <w:r w:rsidR="00CA34F4">
        <w:rPr>
          <w:b/>
        </w:rPr>
        <w:t>-</w:t>
      </w:r>
      <w:r w:rsidR="00441EAD">
        <w:rPr>
          <w:b/>
        </w:rPr>
        <w:t>term sustainability</w:t>
      </w:r>
      <w:r w:rsidR="00A9207B">
        <w:rPr>
          <w:b/>
        </w:rPr>
        <w:t xml:space="preserve"> than </w:t>
      </w:r>
      <w:r w:rsidR="003C3E52">
        <w:rPr>
          <w:b/>
        </w:rPr>
        <w:t xml:space="preserve">the </w:t>
      </w:r>
      <w:r w:rsidR="00A9207B">
        <w:rPr>
          <w:b/>
        </w:rPr>
        <w:t>speed of adjustment</w:t>
      </w:r>
      <w:r w:rsidR="00441EAD">
        <w:rPr>
          <w:b/>
        </w:rPr>
        <w:t>.</w:t>
      </w:r>
      <w:r w:rsidR="006D772B">
        <w:rPr>
          <w:b/>
        </w:rPr>
        <w:t xml:space="preserve"> </w:t>
      </w:r>
      <w:r w:rsidR="006D772B">
        <w:t xml:space="preserve">It is important to </w:t>
      </w:r>
      <w:r w:rsidR="00441EAD">
        <w:t>proceed expeditiously with</w:t>
      </w:r>
      <w:r w:rsidR="006D772B">
        <w:t xml:space="preserve"> implementing durable measures </w:t>
      </w:r>
      <w:r w:rsidR="00582169">
        <w:t>to</w:t>
      </w:r>
      <w:r w:rsidR="006D772B">
        <w:t xml:space="preserve"> tighten expenditure controls and improv</w:t>
      </w:r>
      <w:r w:rsidR="00582169">
        <w:t>e</w:t>
      </w:r>
      <w:r w:rsidR="006D772B">
        <w:t xml:space="preserve"> overall public financial management, strengthen revenue mobilization and </w:t>
      </w:r>
      <w:r w:rsidR="00A9207B">
        <w:t>address</w:t>
      </w:r>
      <w:r w:rsidR="006D772B">
        <w:t xml:space="preserve"> </w:t>
      </w:r>
      <w:r w:rsidR="00A9207B">
        <w:t xml:space="preserve">significant </w:t>
      </w:r>
      <w:r w:rsidR="006D772B">
        <w:t>fiscal risks, especially health insurance</w:t>
      </w:r>
      <w:r w:rsidR="00C35D18">
        <w:t xml:space="preserve"> and pension</w:t>
      </w:r>
      <w:r w:rsidR="00582169">
        <w:t>s</w:t>
      </w:r>
      <w:r w:rsidR="00A9207B">
        <w:t xml:space="preserve">. </w:t>
      </w:r>
      <w:r w:rsidR="00582169">
        <w:t>E</w:t>
      </w:r>
      <w:r w:rsidR="00CA34F4">
        <w:t xml:space="preserve">xpenditure cuts </w:t>
      </w:r>
      <w:r w:rsidR="00582169">
        <w:t xml:space="preserve">would </w:t>
      </w:r>
      <w:r w:rsidR="00A9207B">
        <w:t xml:space="preserve">need to be </w:t>
      </w:r>
      <w:r w:rsidR="00CA34F4">
        <w:t xml:space="preserve">accompanied by changes in legislation to ensure </w:t>
      </w:r>
      <w:r w:rsidR="00A9207B">
        <w:t xml:space="preserve">their </w:t>
      </w:r>
      <w:r w:rsidR="00CA34F4">
        <w:t>durability</w:t>
      </w:r>
      <w:r w:rsidR="006D772B">
        <w:t>. As</w:t>
      </w:r>
      <w:r w:rsidR="00441EAD">
        <w:t xml:space="preserve"> long as </w:t>
      </w:r>
      <w:r w:rsidR="00582169">
        <w:t xml:space="preserve">the </w:t>
      </w:r>
      <w:r w:rsidR="00441EAD">
        <w:t>implementation of these measures is on track</w:t>
      </w:r>
      <w:r w:rsidR="006D772B">
        <w:t>,</w:t>
      </w:r>
      <w:r w:rsidR="00441EAD">
        <w:t xml:space="preserve"> </w:t>
      </w:r>
      <w:r w:rsidR="00582169">
        <w:t xml:space="preserve">a gradual adjustment path, </w:t>
      </w:r>
      <w:r w:rsidR="00A9207B">
        <w:t>reaching fiscal balance</w:t>
      </w:r>
      <w:r w:rsidR="003C3E52">
        <w:t xml:space="preserve"> </w:t>
      </w:r>
      <w:r w:rsidR="00582169">
        <w:t>by</w:t>
      </w:r>
      <w:r w:rsidR="003C3E52">
        <w:t xml:space="preserve"> 202</w:t>
      </w:r>
      <w:r w:rsidR="00A51F59">
        <w:t>1</w:t>
      </w:r>
      <w:r w:rsidR="00582169">
        <w:t>, would be viable</w:t>
      </w:r>
      <w:r>
        <w:t xml:space="preserve">. </w:t>
      </w:r>
      <w:r w:rsidR="009D2FDB">
        <w:t>This gradual</w:t>
      </w:r>
      <w:r w:rsidR="00A9207B">
        <w:t xml:space="preserve"> </w:t>
      </w:r>
      <w:r w:rsidR="009D2FDB">
        <w:t xml:space="preserve">approach </w:t>
      </w:r>
      <w:r w:rsidR="00582169">
        <w:t>differs</w:t>
      </w:r>
      <w:r w:rsidR="009D2FDB">
        <w:t xml:space="preserve"> from</w:t>
      </w:r>
      <w:r w:rsidR="00A9207B">
        <w:t xml:space="preserve"> </w:t>
      </w:r>
      <w:r w:rsidR="003C3E52">
        <w:t>the</w:t>
      </w:r>
      <w:r w:rsidR="00A9207B">
        <w:t xml:space="preserve"> </w:t>
      </w:r>
      <w:r w:rsidR="009D2FDB">
        <w:t xml:space="preserve">more frontloaded adjustment </w:t>
      </w:r>
      <w:r w:rsidR="00F65550">
        <w:t xml:space="preserve">proposed </w:t>
      </w:r>
      <w:r w:rsidR="009D2FDB">
        <w:t xml:space="preserve">by the </w:t>
      </w:r>
      <w:r w:rsidR="009D2FDB">
        <w:lastRenderedPageBreak/>
        <w:t>Dutch-led supervisory authority (</w:t>
      </w:r>
      <w:proofErr w:type="spellStart"/>
      <w:r w:rsidR="009D2FDB">
        <w:t>Cft</w:t>
      </w:r>
      <w:proofErr w:type="spellEnd"/>
      <w:r w:rsidR="009D2FDB">
        <w:t>)</w:t>
      </w:r>
      <w:r w:rsidR="00582169">
        <w:t>,</w:t>
      </w:r>
      <w:r w:rsidR="009D2FDB">
        <w:t xml:space="preserve"> </w:t>
      </w:r>
      <w:proofErr w:type="gramStart"/>
      <w:r w:rsidR="009D2FDB">
        <w:t>in order to</w:t>
      </w:r>
      <w:proofErr w:type="gramEnd"/>
      <w:r w:rsidR="009D2FDB">
        <w:t xml:space="preserve"> minimize the negative impact on growth.</w:t>
      </w:r>
      <w:r w:rsidR="009D2FDB">
        <w:rPr>
          <w:rStyle w:val="FootnoteReference"/>
        </w:rPr>
        <w:footnoteReference w:id="4"/>
      </w:r>
      <w:r w:rsidR="00D61169">
        <w:t xml:space="preserve"> </w:t>
      </w:r>
      <w:r w:rsidR="009A3990">
        <w:t xml:space="preserve">The large upfront fiscal adjustment entailed by the </w:t>
      </w:r>
      <w:proofErr w:type="spellStart"/>
      <w:r w:rsidR="009A3990">
        <w:t>Cft</w:t>
      </w:r>
      <w:proofErr w:type="spellEnd"/>
      <w:r w:rsidR="009A3990">
        <w:t xml:space="preserve"> proposal (</w:t>
      </w:r>
      <w:r w:rsidR="00A03B28">
        <w:t>about</w:t>
      </w:r>
      <w:r w:rsidR="00A51F59">
        <w:t xml:space="preserve"> </w:t>
      </w:r>
      <w:r w:rsidR="009A3990">
        <w:t>3.4 percent of GDP in 2020)</w:t>
      </w:r>
      <w:r w:rsidR="000D4276">
        <w:t xml:space="preserve">, would require large expenditure cuts, including on social spending, and </w:t>
      </w:r>
      <w:r w:rsidR="009A3990">
        <w:t xml:space="preserve">could further undermine growth and make restoring medium-term sustainability more difficult. </w:t>
      </w:r>
      <w:r w:rsidR="00D61169">
        <w:t xml:space="preserve">At the same time, </w:t>
      </w:r>
      <w:r w:rsidR="000D4276">
        <w:t>for the more gradual path to be credible, the authorities should legislate measures upfront and remain committed</w:t>
      </w:r>
      <w:r w:rsidR="00D61169">
        <w:t xml:space="preserve"> to continu</w:t>
      </w:r>
      <w:r w:rsidR="000D4276">
        <w:t>ing</w:t>
      </w:r>
      <w:r w:rsidR="00D61169">
        <w:t xml:space="preserve"> </w:t>
      </w:r>
      <w:r w:rsidR="003C3E52">
        <w:t xml:space="preserve">the </w:t>
      </w:r>
      <w:r w:rsidR="00D61169">
        <w:t>adjustment over the medium term</w:t>
      </w:r>
      <w:r w:rsidR="007B37A4">
        <w:t xml:space="preserve"> and </w:t>
      </w:r>
      <w:r w:rsidR="00582169">
        <w:t xml:space="preserve">to </w:t>
      </w:r>
      <w:r w:rsidR="007B37A4">
        <w:t>reach</w:t>
      </w:r>
      <w:r w:rsidR="000D4276">
        <w:t>ing</w:t>
      </w:r>
      <w:r w:rsidR="007B37A4">
        <w:t xml:space="preserve"> a primary surplus in 202</w:t>
      </w:r>
      <w:r w:rsidR="00A51F59">
        <w:t>2-2</w:t>
      </w:r>
      <w:r w:rsidR="007B37A4">
        <w:t xml:space="preserve">4 </w:t>
      </w:r>
      <w:proofErr w:type="gramStart"/>
      <w:r w:rsidR="00CA34F4">
        <w:t>in order to</w:t>
      </w:r>
      <w:proofErr w:type="gramEnd"/>
      <w:r w:rsidR="00CA34F4">
        <w:t xml:space="preserve"> place government debt firmly on </w:t>
      </w:r>
      <w:r w:rsidR="003C3E52">
        <w:t>a</w:t>
      </w:r>
      <w:r w:rsidR="00CA34F4">
        <w:t xml:space="preserve"> downward path</w:t>
      </w:r>
      <w:r w:rsidR="000D4276">
        <w:t>,</w:t>
      </w:r>
      <w:r w:rsidR="009A3990">
        <w:t xml:space="preserve"> </w:t>
      </w:r>
      <w:r w:rsidR="00CA34F4">
        <w:t xml:space="preserve">as illustrated in the </w:t>
      </w:r>
      <w:r w:rsidR="009A3990">
        <w:t xml:space="preserve">staff’s </w:t>
      </w:r>
      <w:r w:rsidR="00CA34F4">
        <w:t>adjustment scenario.</w:t>
      </w:r>
    </w:p>
    <w:p w14:paraId="3C78E2C5" w14:textId="625B12DA" w:rsidR="00D5142D" w:rsidRDefault="004421C7" w:rsidP="00683F9E">
      <w:pPr>
        <w:spacing w:after="120"/>
      </w:pPr>
      <w:r>
        <w:rPr>
          <w:b/>
        </w:rPr>
        <w:t>The</w:t>
      </w:r>
      <w:r w:rsidR="00D5142D">
        <w:rPr>
          <w:b/>
        </w:rPr>
        <w:t xml:space="preserve"> </w:t>
      </w:r>
      <w:r w:rsidR="00183B96">
        <w:rPr>
          <w:b/>
        </w:rPr>
        <w:t xml:space="preserve">large </w:t>
      </w:r>
      <w:r w:rsidR="00DE63FB">
        <w:rPr>
          <w:b/>
        </w:rPr>
        <w:t xml:space="preserve">external </w:t>
      </w:r>
      <w:r w:rsidR="00D5142D">
        <w:rPr>
          <w:b/>
        </w:rPr>
        <w:t>current account deficit</w:t>
      </w:r>
      <w:r w:rsidR="00D922DB">
        <w:rPr>
          <w:b/>
        </w:rPr>
        <w:t xml:space="preserve"> </w:t>
      </w:r>
      <w:r w:rsidR="00D5142D">
        <w:rPr>
          <w:b/>
        </w:rPr>
        <w:t xml:space="preserve">in </w:t>
      </w:r>
      <w:r w:rsidR="001878D3">
        <w:rPr>
          <w:b/>
        </w:rPr>
        <w:t>Curaçao</w:t>
      </w:r>
      <w:r w:rsidR="00D5142D">
        <w:rPr>
          <w:b/>
        </w:rPr>
        <w:t xml:space="preserve"> is a significant vulnerability and requires urgent attention</w:t>
      </w:r>
      <w:r w:rsidR="00E10E27" w:rsidRPr="00B73F0F">
        <w:rPr>
          <w:b/>
        </w:rPr>
        <w:t>.</w:t>
      </w:r>
      <w:r w:rsidR="00D5142D">
        <w:t xml:space="preserve"> The deficit, together with e</w:t>
      </w:r>
      <w:r w:rsidR="00E10E27">
        <w:t>xcess liquidity in the banking system</w:t>
      </w:r>
      <w:r w:rsidR="00D5142D">
        <w:t>,</w:t>
      </w:r>
      <w:r w:rsidR="00E10E27">
        <w:t xml:space="preserve"> pose</w:t>
      </w:r>
      <w:r w:rsidR="003D785E">
        <w:t>s</w:t>
      </w:r>
      <w:r w:rsidR="00E10E27">
        <w:t xml:space="preserve"> risks for the Union’s reserves, which have declined </w:t>
      </w:r>
      <w:r w:rsidR="00D5142D">
        <w:t xml:space="preserve">from 3.8 to 3.5 months of </w:t>
      </w:r>
      <w:r w:rsidR="003C3E52">
        <w:t>projected</w:t>
      </w:r>
      <w:r w:rsidR="00D5142D">
        <w:t xml:space="preserve"> </w:t>
      </w:r>
      <w:r w:rsidR="00E10E27">
        <w:t>imports of goods and serv</w:t>
      </w:r>
      <w:r w:rsidR="00D5142D">
        <w:t>ices</w:t>
      </w:r>
      <w:r w:rsidR="003C3E52">
        <w:t xml:space="preserve"> between December 2018 and mid-May</w:t>
      </w:r>
      <w:r w:rsidR="00D5142D">
        <w:t xml:space="preserve">. The </w:t>
      </w:r>
      <w:r w:rsidR="00D922DB">
        <w:t>C</w:t>
      </w:r>
      <w:r w:rsidR="003B030D">
        <w:t>entral Bank of Cura</w:t>
      </w:r>
      <w:r w:rsidR="003B030D" w:rsidRPr="003B030D">
        <w:t>ç</w:t>
      </w:r>
      <w:r w:rsidR="003B030D">
        <w:t>ao and Sint Maarten</w:t>
      </w:r>
      <w:r w:rsidR="00206C51">
        <w:t xml:space="preserve"> </w:t>
      </w:r>
      <w:r w:rsidR="00D5142D">
        <w:t xml:space="preserve">is considering options for addressing </w:t>
      </w:r>
      <w:r w:rsidR="00C35D18">
        <w:t xml:space="preserve">the </w:t>
      </w:r>
      <w:r w:rsidR="00D5142D">
        <w:t xml:space="preserve">excess liquidity and </w:t>
      </w:r>
      <w:r>
        <w:t xml:space="preserve">has </w:t>
      </w:r>
      <w:r w:rsidR="00D5142D">
        <w:t>requested IMF technical assistance in this area.</w:t>
      </w:r>
      <w:r w:rsidR="00DE63FB">
        <w:t xml:space="preserve"> Fiscal adjustment would help reduce the </w:t>
      </w:r>
      <w:r w:rsidR="009A3990">
        <w:t>external current account deficit</w:t>
      </w:r>
      <w:r w:rsidR="00DE63FB">
        <w:t xml:space="preserve"> although a </w:t>
      </w:r>
      <w:r w:rsidR="00F15037">
        <w:t xml:space="preserve">strong </w:t>
      </w:r>
      <w:r w:rsidR="00DE63FB">
        <w:t>structural reform is required to increase export</w:t>
      </w:r>
      <w:r w:rsidR="00CE76A1">
        <w:t>s</w:t>
      </w:r>
      <w:r w:rsidR="00DE63FB">
        <w:t xml:space="preserve"> and reduce</w:t>
      </w:r>
      <w:r w:rsidR="00F15037">
        <w:t xml:space="preserve"> the</w:t>
      </w:r>
      <w:r w:rsidR="00DE63FB">
        <w:t xml:space="preserve"> </w:t>
      </w:r>
      <w:r w:rsidR="009A3990">
        <w:t xml:space="preserve">deficit </w:t>
      </w:r>
      <w:r w:rsidR="00DE63FB">
        <w:t>more durably.</w:t>
      </w:r>
      <w:r w:rsidR="007F38A6">
        <w:t xml:space="preserve"> It is important to take steps to bolster medium-term external sustainability.</w:t>
      </w:r>
    </w:p>
    <w:p w14:paraId="1D60E54E" w14:textId="0026778F" w:rsidR="00E10E27" w:rsidRDefault="00D5142D" w:rsidP="00683F9E">
      <w:pPr>
        <w:spacing w:after="120"/>
        <w:rPr>
          <w:b/>
        </w:rPr>
      </w:pPr>
      <w:r>
        <w:rPr>
          <w:b/>
        </w:rPr>
        <w:t>It is very important to follow through on</w:t>
      </w:r>
      <w:r w:rsidR="007A4D99">
        <w:rPr>
          <w:b/>
        </w:rPr>
        <w:t xml:space="preserve"> economy-wide</w:t>
      </w:r>
      <w:r>
        <w:rPr>
          <w:b/>
        </w:rPr>
        <w:t xml:space="preserve"> structural reform</w:t>
      </w:r>
      <w:r w:rsidR="00B357FA">
        <w:rPr>
          <w:b/>
        </w:rPr>
        <w:t>s</w:t>
      </w:r>
      <w:r>
        <w:rPr>
          <w:b/>
        </w:rPr>
        <w:t xml:space="preserve"> to support potential </w:t>
      </w:r>
      <w:r w:rsidR="00AD146A">
        <w:rPr>
          <w:b/>
        </w:rPr>
        <w:t>growth and</w:t>
      </w:r>
      <w:r w:rsidR="00B6680F">
        <w:rPr>
          <w:b/>
        </w:rPr>
        <w:t xml:space="preserve"> increase exports</w:t>
      </w:r>
      <w:r>
        <w:rPr>
          <w:b/>
        </w:rPr>
        <w:t xml:space="preserve">. </w:t>
      </w:r>
      <w:r w:rsidR="002C5BB8">
        <w:t>C</w:t>
      </w:r>
      <w:r w:rsidR="00B357FA" w:rsidRPr="009C077A">
        <w:t>umbersome regulations</w:t>
      </w:r>
      <w:r w:rsidR="00B357FA">
        <w:t xml:space="preserve"> </w:t>
      </w:r>
      <w:r w:rsidR="004D10B1">
        <w:t xml:space="preserve">and </w:t>
      </w:r>
      <w:r w:rsidR="00B357FA">
        <w:t>red tape</w:t>
      </w:r>
      <w:r w:rsidR="006739E7">
        <w:t>, e.g. lengthy permit processes,</w:t>
      </w:r>
      <w:r w:rsidR="006739E7" w:rsidRPr="006739E7">
        <w:t xml:space="preserve"> </w:t>
      </w:r>
      <w:r w:rsidR="002C5BB8">
        <w:t>need to be addressed</w:t>
      </w:r>
      <w:r w:rsidR="00B357FA">
        <w:t xml:space="preserve">. </w:t>
      </w:r>
      <w:r w:rsidR="00B357FA" w:rsidRPr="009C077A">
        <w:t xml:space="preserve">The authorities’ plans to simplify </w:t>
      </w:r>
      <w:r w:rsidR="00B357FA">
        <w:t xml:space="preserve">and speed up </w:t>
      </w:r>
      <w:r w:rsidR="00B357FA" w:rsidRPr="009C077A">
        <w:t>administrative procedures for business and work permits should be implemented without delay.</w:t>
      </w:r>
      <w:r w:rsidR="00B357FA">
        <w:t xml:space="preserve"> </w:t>
      </w:r>
      <w:r w:rsidR="009A3990">
        <w:t>P</w:t>
      </w:r>
      <w:r w:rsidR="009F1C22">
        <w:t>rocedure</w:t>
      </w:r>
      <w:r w:rsidR="006548CB">
        <w:t>s</w:t>
      </w:r>
      <w:r w:rsidR="009F1C22">
        <w:t xml:space="preserve"> for </w:t>
      </w:r>
      <w:r w:rsidR="009F1C22" w:rsidRPr="009F1C22">
        <w:t xml:space="preserve">terminating employment contracts appear </w:t>
      </w:r>
      <w:r w:rsidR="006548CB">
        <w:t xml:space="preserve">cumbersome and costly and </w:t>
      </w:r>
      <w:r w:rsidR="009F1C22" w:rsidRPr="009F1C22">
        <w:t>imped</w:t>
      </w:r>
      <w:r w:rsidR="006548CB">
        <w:t>e</w:t>
      </w:r>
      <w:r w:rsidR="009F1C22" w:rsidRPr="009F1C22">
        <w:t xml:space="preserve"> labor mobility and job growth.</w:t>
      </w:r>
      <w:r w:rsidR="006548CB">
        <w:t xml:space="preserve"> </w:t>
      </w:r>
      <w:r w:rsidR="004D10B1">
        <w:t xml:space="preserve">The authorities’ plans to promote “flexicurity” </w:t>
      </w:r>
      <w:r w:rsidR="00612C87">
        <w:t xml:space="preserve">(a combination of labor market flexibility and adequate worker protection) </w:t>
      </w:r>
      <w:r w:rsidR="00AA1314">
        <w:t>c</w:t>
      </w:r>
      <w:r w:rsidR="00612C87">
        <w:t xml:space="preserve">ould be </w:t>
      </w:r>
      <w:r w:rsidR="004D10B1">
        <w:t>a step in the right direction.</w:t>
      </w:r>
      <w:r w:rsidR="002C5BB8">
        <w:t xml:space="preserve"> L</w:t>
      </w:r>
      <w:r w:rsidR="002C5BB8" w:rsidRPr="002C5BB8">
        <w:t xml:space="preserve">abor market mismatches need to be addressed through retraining, </w:t>
      </w:r>
      <w:r w:rsidR="009A3990">
        <w:t xml:space="preserve">and </w:t>
      </w:r>
      <w:r w:rsidR="002C5BB8" w:rsidRPr="002C5BB8">
        <w:t>improvements in educational and vocational training programs</w:t>
      </w:r>
      <w:r w:rsidR="002C5BB8">
        <w:t>.</w:t>
      </w:r>
    </w:p>
    <w:p w14:paraId="00DEE212" w14:textId="3AA099E6" w:rsidR="00683F9E" w:rsidRPr="00683F9E" w:rsidRDefault="00DE7012" w:rsidP="00683F9E">
      <w:pPr>
        <w:spacing w:after="120"/>
      </w:pPr>
      <w:r>
        <w:rPr>
          <w:b/>
          <w:lang w:eastAsia="zh-TW"/>
        </w:rPr>
        <w:t>The authorities are planning to combine existing development institutions in Invest-Cura</w:t>
      </w:r>
      <w:r w:rsidR="00091C69" w:rsidRPr="009C077A">
        <w:rPr>
          <w:b/>
        </w:rPr>
        <w:t>ç</w:t>
      </w:r>
      <w:r>
        <w:rPr>
          <w:b/>
          <w:lang w:eastAsia="zh-TW"/>
        </w:rPr>
        <w:t>ao and capitalize it with privatization proceeds</w:t>
      </w:r>
      <w:r w:rsidR="00DE63FB">
        <w:rPr>
          <w:b/>
          <w:lang w:eastAsia="zh-TW"/>
        </w:rPr>
        <w:t>.</w:t>
      </w:r>
      <w:r>
        <w:rPr>
          <w:rFonts w:ascii="TimesNewRomanPSMT" w:hAnsi="TimesNewRomanPSMT" w:cs="TimesNewRomanPSMT"/>
          <w:sz w:val="23"/>
          <w:szCs w:val="23"/>
        </w:rPr>
        <w:t xml:space="preserve"> </w:t>
      </w:r>
      <w:r w:rsidRPr="001058DA">
        <w:t xml:space="preserve">This </w:t>
      </w:r>
      <w:r w:rsidR="009A3990">
        <w:t xml:space="preserve">scheme </w:t>
      </w:r>
      <w:r w:rsidRPr="001058DA">
        <w:t xml:space="preserve">would include two guarantee funds: one for uncollateralized parts of loans and another for </w:t>
      </w:r>
      <w:r w:rsidR="00DE63FB" w:rsidRPr="001058DA">
        <w:t xml:space="preserve">equity. </w:t>
      </w:r>
      <w:r w:rsidRPr="001058DA">
        <w:t xml:space="preserve">These funds, especially the equity guarantee fund, involve </w:t>
      </w:r>
      <w:r w:rsidR="00A03B28">
        <w:t xml:space="preserve">significant </w:t>
      </w:r>
      <w:r w:rsidRPr="001058DA">
        <w:t xml:space="preserve">risks and </w:t>
      </w:r>
      <w:r w:rsidR="00A03B28">
        <w:t xml:space="preserve">would </w:t>
      </w:r>
      <w:r w:rsidRPr="001058DA">
        <w:t xml:space="preserve">require proper risk management and strong supervision capable of assessing the risks. </w:t>
      </w:r>
      <w:r w:rsidR="00A03B28">
        <w:t xml:space="preserve">Considerable caution is warranted. </w:t>
      </w:r>
      <w:r w:rsidR="00091C69" w:rsidRPr="001058DA">
        <w:t xml:space="preserve">If the authorities </w:t>
      </w:r>
      <w:r w:rsidR="00A03B28">
        <w:t xml:space="preserve">do </w:t>
      </w:r>
      <w:r w:rsidR="00091C69" w:rsidRPr="001058DA">
        <w:t>proceed with setting up Invest-Cura</w:t>
      </w:r>
      <w:r w:rsidR="00091C69" w:rsidRPr="009C077A">
        <w:t>ç</w:t>
      </w:r>
      <w:r w:rsidR="00091C69" w:rsidRPr="001058DA">
        <w:t xml:space="preserve">ao, it </w:t>
      </w:r>
      <w:r w:rsidR="009A3990">
        <w:t xml:space="preserve">would </w:t>
      </w:r>
      <w:r w:rsidR="00091C69" w:rsidRPr="001058DA">
        <w:t xml:space="preserve">need to adhere to best practices of </w:t>
      </w:r>
      <w:r w:rsidR="00DE63FB" w:rsidRPr="001058DA">
        <w:t>good governance and transparency.</w:t>
      </w:r>
    </w:p>
    <w:p w14:paraId="0B45828B" w14:textId="25EFF035" w:rsidR="00F65550" w:rsidRDefault="00E55F89" w:rsidP="00683F9E">
      <w:pPr>
        <w:rPr>
          <w:i/>
        </w:rPr>
      </w:pPr>
      <w:r w:rsidRPr="00137DAD">
        <w:rPr>
          <w:i/>
        </w:rPr>
        <w:t>The IMF mission wishes to express its gratit</w:t>
      </w:r>
      <w:r w:rsidR="00137DAD">
        <w:rPr>
          <w:i/>
        </w:rPr>
        <w:t>ude to the authorities and all</w:t>
      </w:r>
      <w:r w:rsidRPr="00137DAD">
        <w:rPr>
          <w:i/>
        </w:rPr>
        <w:t xml:space="preserve"> stakeholders for the open and constructive discussions during its visit to </w:t>
      </w:r>
      <w:r w:rsidR="001878D3">
        <w:rPr>
          <w:i/>
        </w:rPr>
        <w:t>Curaçao</w:t>
      </w:r>
      <w:r w:rsidRPr="00137DAD">
        <w:rPr>
          <w:i/>
        </w:rPr>
        <w:t>.</w:t>
      </w:r>
    </w:p>
    <w:tbl>
      <w:tblPr>
        <w:tblStyle w:val="TableGrid"/>
        <w:tblW w:w="931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9314"/>
      </w:tblGrid>
      <w:tr w:rsidR="00F65550" w:rsidRPr="0075274C" w14:paraId="38B7558E" w14:textId="77777777" w:rsidTr="00850990">
        <w:trPr>
          <w:trHeight w:val="278"/>
          <w:jc w:val="center"/>
        </w:trPr>
        <w:tc>
          <w:tcPr>
            <w:tcW w:w="9314" w:type="dxa"/>
            <w:shd w:val="clear" w:color="auto" w:fill="auto"/>
            <w:vAlign w:val="center"/>
          </w:tcPr>
          <w:p w14:paraId="1887242D" w14:textId="77777777" w:rsidR="00F65550" w:rsidRDefault="00C663D5" w:rsidP="00850990">
            <w:pPr>
              <w:jc w:val="center"/>
              <w:rPr>
                <w:rFonts w:ascii="Segoe UI" w:hAnsi="Segoe UI" w:cs="Segoe UI"/>
                <w:b/>
                <w:color w:val="4B82AD"/>
                <w:sz w:val="21"/>
                <w:szCs w:val="21"/>
              </w:rPr>
            </w:pPr>
            <w:r>
              <w:lastRenderedPageBreak/>
              <w:br w:type="page"/>
            </w:r>
            <w:r w:rsidR="00F65550">
              <w:rPr>
                <w:rFonts w:ascii="Segoe UI" w:hAnsi="Segoe UI" w:cs="Segoe UI"/>
                <w:b/>
                <w:color w:val="4B82AD"/>
                <w:sz w:val="21"/>
                <w:szCs w:val="21"/>
              </w:rPr>
              <w:t>Figure 1. Curaçao: External Trade by Trading Partner, 2012-18</w:t>
            </w:r>
          </w:p>
          <w:p w14:paraId="13838CA5" w14:textId="087D9637" w:rsidR="00F65550" w:rsidRPr="00F65550" w:rsidRDefault="00F65550" w:rsidP="00850990">
            <w:pPr>
              <w:jc w:val="center"/>
              <w:rPr>
                <w:rFonts w:ascii="Segoe UI" w:hAnsi="Segoe UI" w:cs="Segoe UI"/>
                <w:color w:val="4B82AD"/>
                <w:sz w:val="21"/>
                <w:szCs w:val="21"/>
              </w:rPr>
            </w:pPr>
            <w:r w:rsidRPr="00F65550">
              <w:rPr>
                <w:rFonts w:ascii="Segoe UI" w:hAnsi="Segoe UI" w:cs="Segoe UI"/>
                <w:color w:val="4B82AD"/>
                <w:sz w:val="21"/>
                <w:szCs w:val="21"/>
              </w:rPr>
              <w:t>(millions of U</w:t>
            </w:r>
            <w:r w:rsidR="00EC4B48">
              <w:rPr>
                <w:rFonts w:ascii="Segoe UI" w:hAnsi="Segoe UI" w:cs="Segoe UI"/>
                <w:color w:val="4B82AD"/>
                <w:sz w:val="21"/>
                <w:szCs w:val="21"/>
              </w:rPr>
              <w:t>.</w:t>
            </w:r>
            <w:r w:rsidRPr="00F65550">
              <w:rPr>
                <w:rFonts w:ascii="Segoe UI" w:hAnsi="Segoe UI" w:cs="Segoe UI"/>
                <w:color w:val="4B82AD"/>
                <w:sz w:val="21"/>
                <w:szCs w:val="21"/>
              </w:rPr>
              <w:t>S</w:t>
            </w:r>
            <w:r w:rsidR="00EC4B48">
              <w:rPr>
                <w:rFonts w:ascii="Segoe UI" w:hAnsi="Segoe UI" w:cs="Segoe UI"/>
                <w:color w:val="4B82AD"/>
                <w:sz w:val="21"/>
                <w:szCs w:val="21"/>
              </w:rPr>
              <w:t>.</w:t>
            </w:r>
            <w:r w:rsidRPr="00F65550">
              <w:rPr>
                <w:rFonts w:ascii="Segoe UI" w:hAnsi="Segoe UI" w:cs="Segoe UI"/>
                <w:color w:val="4B82AD"/>
                <w:sz w:val="21"/>
                <w:szCs w:val="21"/>
              </w:rPr>
              <w:t xml:space="preserve"> dollars)</w:t>
            </w:r>
          </w:p>
        </w:tc>
      </w:tr>
      <w:tr w:rsidR="00F65550" w:rsidRPr="0075274C" w14:paraId="5555332C" w14:textId="77777777" w:rsidTr="00850990">
        <w:trPr>
          <w:trHeight w:val="1932"/>
          <w:jc w:val="center"/>
        </w:trPr>
        <w:tc>
          <w:tcPr>
            <w:tcW w:w="9314" w:type="dxa"/>
            <w:shd w:val="clear" w:color="auto" w:fill="auto"/>
            <w:vAlign w:val="center"/>
          </w:tcPr>
          <w:p w14:paraId="6C5A0A97" w14:textId="76E959E6" w:rsidR="00F65550" w:rsidRPr="0075274C" w:rsidRDefault="00275B38" w:rsidP="00850990">
            <w:pPr>
              <w:jc w:val="center"/>
              <w:rPr>
                <w:rFonts w:ascii="Segoe UI" w:hAnsi="Segoe UI" w:cs="Segoe UI"/>
                <w:color w:val="000000" w:themeColor="text1"/>
                <w:sz w:val="21"/>
                <w:szCs w:val="21"/>
              </w:rPr>
            </w:pPr>
            <w:r>
              <w:rPr>
                <w:noProof/>
              </w:rPr>
              <w:drawing>
                <wp:inline distT="0" distB="0" distL="0" distR="0" wp14:anchorId="712AC70F" wp14:editId="1EEBD6D2">
                  <wp:extent cx="6202680" cy="4189095"/>
                  <wp:effectExtent l="0" t="0" r="762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2680" cy="4189095"/>
                          </a:xfrm>
                          <a:prstGeom prst="rect">
                            <a:avLst/>
                          </a:prstGeom>
                          <a:noFill/>
                          <a:ln>
                            <a:noFill/>
                          </a:ln>
                        </pic:spPr>
                      </pic:pic>
                    </a:graphicData>
                  </a:graphic>
                </wp:inline>
              </w:drawing>
            </w:r>
          </w:p>
        </w:tc>
      </w:tr>
    </w:tbl>
    <w:p w14:paraId="4099039D" w14:textId="77777777" w:rsidR="00144DF0" w:rsidRDefault="00144DF0" w:rsidP="001058DA"/>
    <w:p w14:paraId="492C75B3" w14:textId="77777777" w:rsidR="00144DF0" w:rsidRDefault="00144DF0">
      <w:pPr>
        <w:spacing w:after="160" w:line="259" w:lineRule="auto"/>
      </w:pPr>
      <w:r>
        <w:br w:type="page"/>
      </w:r>
    </w:p>
    <w:tbl>
      <w:tblPr>
        <w:tblStyle w:val="TableGrid"/>
        <w:tblW w:w="931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9314"/>
      </w:tblGrid>
      <w:tr w:rsidR="00C663D5" w:rsidRPr="0075274C" w14:paraId="70650CEB" w14:textId="77777777" w:rsidTr="00E52923">
        <w:trPr>
          <w:trHeight w:val="278"/>
          <w:jc w:val="center"/>
        </w:trPr>
        <w:tc>
          <w:tcPr>
            <w:tcW w:w="9314" w:type="dxa"/>
            <w:shd w:val="clear" w:color="auto" w:fill="auto"/>
            <w:vAlign w:val="center"/>
          </w:tcPr>
          <w:p w14:paraId="49AC41CC" w14:textId="77777777" w:rsidR="00C663D5" w:rsidRPr="00FE4C22" w:rsidRDefault="00AD4B77" w:rsidP="00E52923">
            <w:pPr>
              <w:jc w:val="center"/>
              <w:rPr>
                <w:rFonts w:ascii="Segoe UI" w:hAnsi="Segoe UI" w:cs="Segoe UI"/>
                <w:b/>
                <w:color w:val="4B82AD"/>
                <w:sz w:val="21"/>
                <w:szCs w:val="21"/>
              </w:rPr>
            </w:pPr>
            <w:r>
              <w:rPr>
                <w:rFonts w:ascii="Segoe UI" w:hAnsi="Segoe UI" w:cs="Segoe UI"/>
                <w:b/>
                <w:color w:val="4B82AD"/>
                <w:sz w:val="21"/>
                <w:szCs w:val="21"/>
              </w:rPr>
              <w:lastRenderedPageBreak/>
              <w:t xml:space="preserve">Figure </w:t>
            </w:r>
            <w:r w:rsidR="00F65550">
              <w:rPr>
                <w:rFonts w:ascii="Segoe UI" w:hAnsi="Segoe UI" w:cs="Segoe UI"/>
                <w:b/>
                <w:color w:val="4B82AD"/>
                <w:sz w:val="21"/>
                <w:szCs w:val="21"/>
              </w:rPr>
              <w:t>2</w:t>
            </w:r>
            <w:r>
              <w:rPr>
                <w:rFonts w:ascii="Segoe UI" w:hAnsi="Segoe UI" w:cs="Segoe UI"/>
                <w:b/>
                <w:color w:val="4B82AD"/>
                <w:sz w:val="21"/>
                <w:szCs w:val="21"/>
              </w:rPr>
              <w:t xml:space="preserve">. </w:t>
            </w:r>
            <w:r w:rsidR="004A1323">
              <w:rPr>
                <w:rFonts w:ascii="Segoe UI" w:hAnsi="Segoe UI" w:cs="Segoe UI"/>
                <w:b/>
                <w:color w:val="4B82AD"/>
                <w:sz w:val="21"/>
                <w:szCs w:val="21"/>
              </w:rPr>
              <w:t>Curaçao</w:t>
            </w:r>
            <w:r w:rsidR="00C663D5">
              <w:rPr>
                <w:rFonts w:ascii="Segoe UI" w:hAnsi="Segoe UI" w:cs="Segoe UI"/>
                <w:b/>
                <w:color w:val="4B82AD"/>
                <w:sz w:val="21"/>
                <w:szCs w:val="21"/>
              </w:rPr>
              <w:t>: Fiscal Scenarios, 2018-28</w:t>
            </w:r>
          </w:p>
        </w:tc>
      </w:tr>
      <w:tr w:rsidR="00C663D5" w:rsidRPr="0075274C" w14:paraId="6DA4E6F2" w14:textId="77777777" w:rsidTr="00E52923">
        <w:trPr>
          <w:trHeight w:val="1932"/>
          <w:jc w:val="center"/>
        </w:trPr>
        <w:tc>
          <w:tcPr>
            <w:tcW w:w="9314" w:type="dxa"/>
            <w:shd w:val="clear" w:color="auto" w:fill="auto"/>
            <w:vAlign w:val="center"/>
          </w:tcPr>
          <w:p w14:paraId="6FAD7D18" w14:textId="32834ED8" w:rsidR="00C663D5" w:rsidRPr="0075274C" w:rsidRDefault="00F300C0" w:rsidP="00E52923">
            <w:pPr>
              <w:jc w:val="center"/>
              <w:rPr>
                <w:rFonts w:ascii="Segoe UI" w:hAnsi="Segoe UI" w:cs="Segoe UI"/>
                <w:color w:val="000000" w:themeColor="text1"/>
                <w:sz w:val="21"/>
                <w:szCs w:val="21"/>
              </w:rPr>
            </w:pPr>
            <w:r>
              <w:rPr>
                <w:noProof/>
              </w:rPr>
              <w:drawing>
                <wp:inline distT="0" distB="0" distL="0" distR="0" wp14:anchorId="62137898" wp14:editId="20064067">
                  <wp:extent cx="5777230" cy="617283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7230" cy="6172835"/>
                          </a:xfrm>
                          <a:prstGeom prst="rect">
                            <a:avLst/>
                          </a:prstGeom>
                          <a:noFill/>
                          <a:ln>
                            <a:noFill/>
                          </a:ln>
                        </pic:spPr>
                      </pic:pic>
                    </a:graphicData>
                  </a:graphic>
                </wp:inline>
              </w:drawing>
            </w:r>
          </w:p>
        </w:tc>
      </w:tr>
    </w:tbl>
    <w:p w14:paraId="6A3CBB09" w14:textId="77777777" w:rsidR="00C663D5" w:rsidRDefault="00C663D5" w:rsidP="00E52923"/>
    <w:p w14:paraId="36E0427A" w14:textId="77777777" w:rsidR="00C663D5" w:rsidRDefault="00C663D5" w:rsidP="00E84D13"/>
    <w:p w14:paraId="546325F9" w14:textId="77777777" w:rsidR="008064D6" w:rsidRDefault="008064D6" w:rsidP="00E84D13"/>
    <w:p w14:paraId="7AB4B19F" w14:textId="77777777" w:rsidR="005A2698" w:rsidRDefault="005A2698" w:rsidP="00E84D13"/>
    <w:p w14:paraId="010F1DBF" w14:textId="77777777" w:rsidR="008064D6" w:rsidRDefault="008064D6" w:rsidP="00E84D13"/>
    <w:p w14:paraId="3BF4DAF7" w14:textId="77777777" w:rsidR="005A2698" w:rsidRDefault="005A2698" w:rsidP="00E84D13"/>
    <w:p w14:paraId="3B810083" w14:textId="77777777" w:rsidR="008064D6" w:rsidRDefault="008064D6" w:rsidP="00E84D13"/>
    <w:p w14:paraId="5EFD6B2B" w14:textId="77777777" w:rsidR="008064D6" w:rsidRDefault="008064D6" w:rsidP="00E84D13"/>
    <w:tbl>
      <w:tblPr>
        <w:tblStyle w:val="TableGrid"/>
        <w:tblW w:w="931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9314"/>
      </w:tblGrid>
      <w:tr w:rsidR="00407410" w:rsidRPr="0075274C" w14:paraId="525CE9F7" w14:textId="77777777" w:rsidTr="00E52923">
        <w:trPr>
          <w:trHeight w:val="278"/>
          <w:jc w:val="center"/>
        </w:trPr>
        <w:tc>
          <w:tcPr>
            <w:tcW w:w="9314" w:type="dxa"/>
            <w:shd w:val="clear" w:color="auto" w:fill="auto"/>
            <w:vAlign w:val="center"/>
          </w:tcPr>
          <w:p w14:paraId="3B0538B2" w14:textId="77777777" w:rsidR="00407410" w:rsidRPr="00FE4C22" w:rsidRDefault="00407410" w:rsidP="00E52923">
            <w:pPr>
              <w:spacing w:after="120"/>
              <w:jc w:val="center"/>
              <w:rPr>
                <w:rFonts w:ascii="Segoe UI" w:hAnsi="Segoe UI" w:cs="Segoe UI"/>
                <w:b/>
                <w:color w:val="4B82AD"/>
                <w:sz w:val="21"/>
                <w:szCs w:val="21"/>
              </w:rPr>
            </w:pPr>
            <w:r w:rsidRPr="00FE4C22">
              <w:rPr>
                <w:rFonts w:ascii="Segoe UI" w:hAnsi="Segoe UI" w:cs="Segoe UI"/>
                <w:b/>
                <w:color w:val="4B82AD"/>
                <w:sz w:val="21"/>
                <w:szCs w:val="21"/>
              </w:rPr>
              <w:lastRenderedPageBreak/>
              <w:t>T</w:t>
            </w:r>
            <w:r>
              <w:rPr>
                <w:rFonts w:ascii="Segoe UI" w:hAnsi="Segoe UI" w:cs="Segoe UI"/>
                <w:b/>
                <w:color w:val="4B82AD"/>
                <w:sz w:val="21"/>
                <w:szCs w:val="21"/>
              </w:rPr>
              <w:t xml:space="preserve">able 1. </w:t>
            </w:r>
            <w:r w:rsidR="004A1323">
              <w:rPr>
                <w:rFonts w:ascii="Segoe UI" w:hAnsi="Segoe UI" w:cs="Segoe UI"/>
                <w:b/>
                <w:color w:val="4B82AD"/>
                <w:sz w:val="21"/>
                <w:szCs w:val="21"/>
              </w:rPr>
              <w:t>Curaçao</w:t>
            </w:r>
            <w:r>
              <w:rPr>
                <w:rFonts w:ascii="Segoe UI" w:hAnsi="Segoe UI" w:cs="Segoe UI"/>
                <w:b/>
                <w:color w:val="4B82AD"/>
                <w:sz w:val="21"/>
                <w:szCs w:val="21"/>
              </w:rPr>
              <w:t>: Selected Economic Indicators 2016-2</w:t>
            </w:r>
            <w:r w:rsidR="00D97822">
              <w:rPr>
                <w:rFonts w:ascii="Segoe UI" w:hAnsi="Segoe UI" w:cs="Segoe UI"/>
                <w:b/>
                <w:color w:val="4B82AD"/>
                <w:sz w:val="21"/>
                <w:szCs w:val="21"/>
              </w:rPr>
              <w:t>4</w:t>
            </w:r>
            <w:r>
              <w:rPr>
                <w:rFonts w:ascii="Segoe UI" w:hAnsi="Segoe UI" w:cs="Segoe UI"/>
                <w:b/>
                <w:color w:val="4B82AD"/>
                <w:sz w:val="21"/>
                <w:szCs w:val="21"/>
              </w:rPr>
              <w:t xml:space="preserve"> – Baseline Scenario</w:t>
            </w:r>
          </w:p>
        </w:tc>
      </w:tr>
      <w:tr w:rsidR="00407410" w:rsidRPr="0075274C" w14:paraId="0058C66F" w14:textId="77777777" w:rsidTr="00E52923">
        <w:trPr>
          <w:trHeight w:val="1932"/>
          <w:jc w:val="center"/>
        </w:trPr>
        <w:tc>
          <w:tcPr>
            <w:tcW w:w="9314" w:type="dxa"/>
            <w:shd w:val="clear" w:color="auto" w:fill="auto"/>
            <w:vAlign w:val="center"/>
          </w:tcPr>
          <w:p w14:paraId="518898BF" w14:textId="2D1AA783" w:rsidR="00407410" w:rsidRPr="0075274C" w:rsidRDefault="00760CE8" w:rsidP="00E52923">
            <w:pPr>
              <w:jc w:val="center"/>
              <w:rPr>
                <w:rFonts w:ascii="Segoe UI" w:hAnsi="Segoe UI" w:cs="Segoe UI"/>
                <w:color w:val="000000" w:themeColor="text1"/>
                <w:sz w:val="21"/>
                <w:szCs w:val="21"/>
              </w:rPr>
            </w:pPr>
            <w:r w:rsidRPr="00760CE8">
              <w:rPr>
                <w:rFonts w:ascii="Segoe UI" w:hAnsi="Segoe UI" w:cs="Segoe UI"/>
                <w:noProof/>
                <w:color w:val="000000" w:themeColor="text1"/>
                <w:sz w:val="21"/>
                <w:szCs w:val="21"/>
              </w:rPr>
              <w:drawing>
                <wp:inline distT="0" distB="0" distL="0" distR="0" wp14:anchorId="309E155B" wp14:editId="060C9E1E">
                  <wp:extent cx="5775960" cy="567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5960" cy="5676900"/>
                          </a:xfrm>
                          <a:prstGeom prst="rect">
                            <a:avLst/>
                          </a:prstGeom>
                          <a:noFill/>
                          <a:ln>
                            <a:noFill/>
                          </a:ln>
                        </pic:spPr>
                      </pic:pic>
                    </a:graphicData>
                  </a:graphic>
                </wp:inline>
              </w:drawing>
            </w:r>
          </w:p>
        </w:tc>
      </w:tr>
    </w:tbl>
    <w:p w14:paraId="68C14B24" w14:textId="77777777" w:rsidR="00407410" w:rsidRDefault="00407410" w:rsidP="00407410"/>
    <w:p w14:paraId="5A6C9479" w14:textId="77777777" w:rsidR="00407410" w:rsidRDefault="00407410" w:rsidP="00407410">
      <w:pPr>
        <w:spacing w:after="160" w:line="259" w:lineRule="auto"/>
      </w:pPr>
      <w:r>
        <w:br w:type="page"/>
      </w:r>
    </w:p>
    <w:tbl>
      <w:tblPr>
        <w:tblStyle w:val="TableGrid"/>
        <w:tblW w:w="931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9314"/>
      </w:tblGrid>
      <w:tr w:rsidR="00407410" w:rsidRPr="0075274C" w14:paraId="18CA098E" w14:textId="77777777" w:rsidTr="00E52923">
        <w:trPr>
          <w:trHeight w:val="278"/>
          <w:jc w:val="center"/>
        </w:trPr>
        <w:tc>
          <w:tcPr>
            <w:tcW w:w="9314" w:type="dxa"/>
            <w:shd w:val="clear" w:color="auto" w:fill="auto"/>
            <w:vAlign w:val="center"/>
          </w:tcPr>
          <w:p w14:paraId="1288B981" w14:textId="77777777" w:rsidR="00407410" w:rsidRDefault="00407410" w:rsidP="00E52923">
            <w:pPr>
              <w:jc w:val="center"/>
              <w:rPr>
                <w:rFonts w:ascii="Segoe UI" w:hAnsi="Segoe UI" w:cs="Segoe UI"/>
                <w:b/>
                <w:color w:val="4B82AD"/>
                <w:sz w:val="21"/>
                <w:szCs w:val="21"/>
              </w:rPr>
            </w:pPr>
            <w:r w:rsidRPr="00FE4C22">
              <w:rPr>
                <w:rFonts w:ascii="Segoe UI" w:hAnsi="Segoe UI" w:cs="Segoe UI"/>
                <w:b/>
                <w:color w:val="4B82AD"/>
                <w:sz w:val="21"/>
                <w:szCs w:val="21"/>
              </w:rPr>
              <w:lastRenderedPageBreak/>
              <w:t>T</w:t>
            </w:r>
            <w:r>
              <w:rPr>
                <w:rFonts w:ascii="Segoe UI" w:hAnsi="Segoe UI" w:cs="Segoe UI"/>
                <w:b/>
                <w:color w:val="4B82AD"/>
                <w:sz w:val="21"/>
                <w:szCs w:val="21"/>
              </w:rPr>
              <w:t xml:space="preserve">able 2. </w:t>
            </w:r>
            <w:r w:rsidR="004A1323">
              <w:rPr>
                <w:rFonts w:ascii="Segoe UI" w:hAnsi="Segoe UI" w:cs="Segoe UI"/>
                <w:b/>
                <w:color w:val="4B82AD"/>
                <w:sz w:val="21"/>
                <w:szCs w:val="21"/>
              </w:rPr>
              <w:t>Curaçao</w:t>
            </w:r>
            <w:r>
              <w:rPr>
                <w:rFonts w:ascii="Segoe UI" w:hAnsi="Segoe UI" w:cs="Segoe UI"/>
                <w:b/>
                <w:color w:val="4B82AD"/>
                <w:sz w:val="21"/>
                <w:szCs w:val="21"/>
              </w:rPr>
              <w:t>: Government Operations 2016-2</w:t>
            </w:r>
            <w:r w:rsidR="00D97822">
              <w:rPr>
                <w:rFonts w:ascii="Segoe UI" w:hAnsi="Segoe UI" w:cs="Segoe UI"/>
                <w:b/>
                <w:color w:val="4B82AD"/>
                <w:sz w:val="21"/>
                <w:szCs w:val="21"/>
              </w:rPr>
              <w:t>4</w:t>
            </w:r>
            <w:r>
              <w:rPr>
                <w:rFonts w:ascii="Segoe UI" w:hAnsi="Segoe UI" w:cs="Segoe UI"/>
                <w:b/>
                <w:color w:val="4B82AD"/>
                <w:sz w:val="21"/>
                <w:szCs w:val="21"/>
              </w:rPr>
              <w:t xml:space="preserve"> - Baseline Scenario</w:t>
            </w:r>
          </w:p>
          <w:p w14:paraId="224151A6" w14:textId="77777777" w:rsidR="00407410" w:rsidRDefault="00407410" w:rsidP="00E52923">
            <w:pPr>
              <w:spacing w:after="120"/>
              <w:jc w:val="center"/>
              <w:rPr>
                <w:rFonts w:ascii="Segoe UI" w:hAnsi="Segoe UI" w:cs="Segoe UI"/>
                <w:color w:val="4B82AD"/>
                <w:sz w:val="21"/>
                <w:szCs w:val="21"/>
              </w:rPr>
            </w:pPr>
            <w:r w:rsidRPr="00921023">
              <w:rPr>
                <w:rFonts w:ascii="Segoe UI" w:hAnsi="Segoe UI" w:cs="Segoe UI"/>
                <w:color w:val="4B82AD"/>
                <w:sz w:val="21"/>
                <w:szCs w:val="21"/>
              </w:rPr>
              <w:t xml:space="preserve">(Millions of </w:t>
            </w:r>
            <w:proofErr w:type="spellStart"/>
            <w:r w:rsidRPr="00921023">
              <w:rPr>
                <w:rFonts w:ascii="Segoe UI" w:hAnsi="Segoe UI" w:cs="Segoe UI"/>
                <w:color w:val="4B82AD"/>
                <w:sz w:val="21"/>
                <w:szCs w:val="21"/>
              </w:rPr>
              <w:t>NAf</w:t>
            </w:r>
            <w:proofErr w:type="spellEnd"/>
            <w:r w:rsidRPr="00921023">
              <w:rPr>
                <w:rFonts w:ascii="Segoe UI" w:hAnsi="Segoe UI" w:cs="Segoe UI"/>
                <w:color w:val="4B82AD"/>
                <w:sz w:val="21"/>
                <w:szCs w:val="21"/>
              </w:rPr>
              <w:t xml:space="preserve"> unless otherwise indicated)</w:t>
            </w:r>
          </w:p>
          <w:p w14:paraId="3EE6013B" w14:textId="77777777" w:rsidR="00D97822" w:rsidRPr="00D31DDC" w:rsidRDefault="00364A8E" w:rsidP="00E52923">
            <w:pPr>
              <w:spacing w:after="120"/>
              <w:jc w:val="center"/>
              <w:rPr>
                <w:rFonts w:ascii="Segoe UI" w:hAnsi="Segoe UI" w:cs="Segoe UI"/>
                <w:color w:val="4B82AD"/>
                <w:sz w:val="21"/>
                <w:szCs w:val="21"/>
              </w:rPr>
            </w:pPr>
            <w:r w:rsidRPr="00364A8E">
              <w:rPr>
                <w:rFonts w:ascii="Segoe UI" w:hAnsi="Segoe UI" w:cs="Segoe UI"/>
                <w:noProof/>
                <w:color w:val="4B82AD"/>
                <w:sz w:val="21"/>
                <w:szCs w:val="21"/>
              </w:rPr>
              <w:drawing>
                <wp:inline distT="0" distB="0" distL="0" distR="0" wp14:anchorId="4CB7F02C" wp14:editId="4785B933">
                  <wp:extent cx="5775960" cy="5684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5960" cy="5684520"/>
                          </a:xfrm>
                          <a:prstGeom prst="rect">
                            <a:avLst/>
                          </a:prstGeom>
                          <a:noFill/>
                          <a:ln>
                            <a:noFill/>
                          </a:ln>
                        </pic:spPr>
                      </pic:pic>
                    </a:graphicData>
                  </a:graphic>
                </wp:inline>
              </w:drawing>
            </w:r>
          </w:p>
        </w:tc>
      </w:tr>
      <w:tr w:rsidR="00407410" w:rsidRPr="0075274C" w14:paraId="59E960B9" w14:textId="77777777" w:rsidTr="00E52923">
        <w:trPr>
          <w:trHeight w:val="45"/>
          <w:jc w:val="center"/>
        </w:trPr>
        <w:tc>
          <w:tcPr>
            <w:tcW w:w="9314" w:type="dxa"/>
            <w:shd w:val="clear" w:color="auto" w:fill="auto"/>
            <w:vAlign w:val="center"/>
          </w:tcPr>
          <w:p w14:paraId="19DD4D40" w14:textId="77777777" w:rsidR="00407410" w:rsidRPr="0075274C" w:rsidRDefault="00407410" w:rsidP="00E52923">
            <w:pPr>
              <w:rPr>
                <w:rFonts w:ascii="Segoe UI" w:hAnsi="Segoe UI" w:cs="Segoe UI"/>
                <w:color w:val="000000" w:themeColor="text1"/>
                <w:sz w:val="21"/>
                <w:szCs w:val="21"/>
              </w:rPr>
            </w:pPr>
          </w:p>
        </w:tc>
      </w:tr>
    </w:tbl>
    <w:p w14:paraId="69307631" w14:textId="77777777" w:rsidR="00407410" w:rsidRDefault="00407410" w:rsidP="00407410"/>
    <w:p w14:paraId="03331F9B" w14:textId="77777777" w:rsidR="00407410" w:rsidRDefault="00407410" w:rsidP="00407410">
      <w:pPr>
        <w:spacing w:after="160" w:line="259" w:lineRule="auto"/>
      </w:pPr>
      <w:r>
        <w:br w:type="page"/>
      </w:r>
    </w:p>
    <w:tbl>
      <w:tblPr>
        <w:tblStyle w:val="TableGrid"/>
        <w:tblW w:w="931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9314"/>
      </w:tblGrid>
      <w:tr w:rsidR="00407410" w:rsidRPr="0075274C" w14:paraId="7614B97A" w14:textId="77777777" w:rsidTr="00E52923">
        <w:trPr>
          <w:trHeight w:val="278"/>
          <w:jc w:val="center"/>
        </w:trPr>
        <w:tc>
          <w:tcPr>
            <w:tcW w:w="9314" w:type="dxa"/>
            <w:shd w:val="clear" w:color="auto" w:fill="auto"/>
            <w:vAlign w:val="center"/>
          </w:tcPr>
          <w:p w14:paraId="5B501CB4" w14:textId="77777777" w:rsidR="00407410" w:rsidRDefault="00407410" w:rsidP="00E52923">
            <w:pPr>
              <w:jc w:val="center"/>
              <w:rPr>
                <w:rFonts w:ascii="Segoe UI" w:hAnsi="Segoe UI" w:cs="Segoe UI"/>
                <w:b/>
                <w:color w:val="4B82AD"/>
                <w:sz w:val="21"/>
                <w:szCs w:val="21"/>
              </w:rPr>
            </w:pPr>
            <w:r w:rsidRPr="00FE4C22">
              <w:rPr>
                <w:rFonts w:ascii="Segoe UI" w:hAnsi="Segoe UI" w:cs="Segoe UI"/>
                <w:b/>
                <w:color w:val="4B82AD"/>
                <w:sz w:val="21"/>
                <w:szCs w:val="21"/>
              </w:rPr>
              <w:lastRenderedPageBreak/>
              <w:t>T</w:t>
            </w:r>
            <w:r>
              <w:rPr>
                <w:rFonts w:ascii="Segoe UI" w:hAnsi="Segoe UI" w:cs="Segoe UI"/>
                <w:b/>
                <w:color w:val="4B82AD"/>
                <w:sz w:val="21"/>
                <w:szCs w:val="21"/>
              </w:rPr>
              <w:t xml:space="preserve">able 3. </w:t>
            </w:r>
            <w:r w:rsidR="004A1323">
              <w:rPr>
                <w:rFonts w:ascii="Segoe UI" w:hAnsi="Segoe UI" w:cs="Segoe UI"/>
                <w:b/>
                <w:color w:val="4B82AD"/>
                <w:sz w:val="21"/>
                <w:szCs w:val="21"/>
              </w:rPr>
              <w:t>Curaçao</w:t>
            </w:r>
            <w:r>
              <w:rPr>
                <w:rFonts w:ascii="Segoe UI" w:hAnsi="Segoe UI" w:cs="Segoe UI"/>
                <w:b/>
                <w:color w:val="4B82AD"/>
                <w:sz w:val="21"/>
                <w:szCs w:val="21"/>
              </w:rPr>
              <w:t>: Government Operations 2016-2</w:t>
            </w:r>
            <w:r w:rsidR="00151A84">
              <w:rPr>
                <w:rFonts w:ascii="Segoe UI" w:hAnsi="Segoe UI" w:cs="Segoe UI"/>
                <w:b/>
                <w:color w:val="4B82AD"/>
                <w:sz w:val="21"/>
                <w:szCs w:val="21"/>
              </w:rPr>
              <w:t>4</w:t>
            </w:r>
            <w:r>
              <w:rPr>
                <w:rFonts w:ascii="Segoe UI" w:hAnsi="Segoe UI" w:cs="Segoe UI"/>
                <w:b/>
                <w:color w:val="4B82AD"/>
                <w:sz w:val="21"/>
                <w:szCs w:val="21"/>
              </w:rPr>
              <w:t xml:space="preserve"> - Baseline Scenario</w:t>
            </w:r>
          </w:p>
          <w:p w14:paraId="2B6A035B" w14:textId="77777777" w:rsidR="00407410" w:rsidRDefault="00407410" w:rsidP="00E52923">
            <w:pPr>
              <w:spacing w:after="120"/>
              <w:jc w:val="center"/>
              <w:rPr>
                <w:rFonts w:ascii="Segoe UI" w:hAnsi="Segoe UI" w:cs="Segoe UI"/>
                <w:color w:val="4B82AD"/>
                <w:sz w:val="21"/>
                <w:szCs w:val="21"/>
              </w:rPr>
            </w:pPr>
            <w:r w:rsidRPr="00921023">
              <w:rPr>
                <w:rFonts w:ascii="Segoe UI" w:hAnsi="Segoe UI" w:cs="Segoe UI"/>
                <w:color w:val="4B82AD"/>
                <w:sz w:val="21"/>
                <w:szCs w:val="21"/>
              </w:rPr>
              <w:t>(</w:t>
            </w:r>
            <w:r>
              <w:rPr>
                <w:rFonts w:ascii="Segoe UI" w:hAnsi="Segoe UI" w:cs="Segoe UI"/>
                <w:color w:val="4B82AD"/>
                <w:sz w:val="21"/>
                <w:szCs w:val="21"/>
              </w:rPr>
              <w:t>Percent of GDP</w:t>
            </w:r>
            <w:r w:rsidRPr="00921023">
              <w:rPr>
                <w:rFonts w:ascii="Segoe UI" w:hAnsi="Segoe UI" w:cs="Segoe UI"/>
                <w:color w:val="4B82AD"/>
                <w:sz w:val="21"/>
                <w:szCs w:val="21"/>
              </w:rPr>
              <w:t xml:space="preserve"> unless otherwise indicated)</w:t>
            </w:r>
          </w:p>
          <w:p w14:paraId="1D0F7BFF" w14:textId="77777777" w:rsidR="00151A84" w:rsidRPr="00D31DDC" w:rsidRDefault="00364A8E" w:rsidP="00E52923">
            <w:pPr>
              <w:spacing w:after="120"/>
              <w:jc w:val="center"/>
              <w:rPr>
                <w:rFonts w:ascii="Segoe UI" w:hAnsi="Segoe UI" w:cs="Segoe UI"/>
                <w:color w:val="4B82AD"/>
                <w:sz w:val="21"/>
                <w:szCs w:val="21"/>
              </w:rPr>
            </w:pPr>
            <w:r w:rsidRPr="00364A8E">
              <w:rPr>
                <w:rFonts w:ascii="Segoe UI" w:hAnsi="Segoe UI" w:cs="Segoe UI"/>
                <w:noProof/>
                <w:color w:val="4B82AD"/>
                <w:sz w:val="21"/>
                <w:szCs w:val="21"/>
              </w:rPr>
              <w:drawing>
                <wp:inline distT="0" distB="0" distL="0" distR="0" wp14:anchorId="701EC4F9" wp14:editId="6777706D">
                  <wp:extent cx="5775960" cy="5554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5960" cy="5554980"/>
                          </a:xfrm>
                          <a:prstGeom prst="rect">
                            <a:avLst/>
                          </a:prstGeom>
                          <a:noFill/>
                          <a:ln>
                            <a:noFill/>
                          </a:ln>
                        </pic:spPr>
                      </pic:pic>
                    </a:graphicData>
                  </a:graphic>
                </wp:inline>
              </w:drawing>
            </w:r>
          </w:p>
        </w:tc>
      </w:tr>
      <w:tr w:rsidR="00407410" w:rsidRPr="0075274C" w14:paraId="2580DE90" w14:textId="77777777" w:rsidTr="00E52923">
        <w:trPr>
          <w:trHeight w:val="45"/>
          <w:jc w:val="center"/>
        </w:trPr>
        <w:tc>
          <w:tcPr>
            <w:tcW w:w="9314" w:type="dxa"/>
            <w:shd w:val="clear" w:color="auto" w:fill="auto"/>
            <w:vAlign w:val="center"/>
          </w:tcPr>
          <w:p w14:paraId="141C8757" w14:textId="77777777" w:rsidR="00407410" w:rsidRPr="0075274C" w:rsidRDefault="00407410" w:rsidP="00E52923">
            <w:pPr>
              <w:rPr>
                <w:rFonts w:ascii="Segoe UI" w:hAnsi="Segoe UI" w:cs="Segoe UI"/>
                <w:color w:val="000000" w:themeColor="text1"/>
                <w:sz w:val="21"/>
                <w:szCs w:val="21"/>
              </w:rPr>
            </w:pPr>
          </w:p>
        </w:tc>
      </w:tr>
    </w:tbl>
    <w:p w14:paraId="5BE6F880" w14:textId="77777777" w:rsidR="00407410" w:rsidRDefault="00407410" w:rsidP="00407410"/>
    <w:p w14:paraId="46D83D90" w14:textId="77777777" w:rsidR="00407410" w:rsidRDefault="00407410" w:rsidP="00407410">
      <w:r>
        <w:br w:type="page"/>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9366"/>
      </w:tblGrid>
      <w:tr w:rsidR="00407410" w:rsidRPr="004173BD" w14:paraId="53A10474" w14:textId="77777777" w:rsidTr="00E52923">
        <w:trPr>
          <w:trHeight w:val="368"/>
        </w:trPr>
        <w:tc>
          <w:tcPr>
            <w:tcW w:w="8984" w:type="dxa"/>
            <w:shd w:val="clear" w:color="auto" w:fill="auto"/>
            <w:vAlign w:val="center"/>
          </w:tcPr>
          <w:p w14:paraId="70BE88D6" w14:textId="77777777" w:rsidR="00407410" w:rsidRDefault="00407410" w:rsidP="00E52923">
            <w:pPr>
              <w:jc w:val="center"/>
              <w:rPr>
                <w:rFonts w:ascii="Segoe UI" w:hAnsi="Segoe UI" w:cs="Segoe UI"/>
                <w:b/>
                <w:color w:val="4B82AD"/>
                <w:sz w:val="21"/>
                <w:szCs w:val="21"/>
              </w:rPr>
            </w:pPr>
            <w:r>
              <w:rPr>
                <w:rFonts w:ascii="Segoe UI" w:hAnsi="Segoe UI" w:cs="Segoe UI"/>
                <w:b/>
                <w:color w:val="4B82AD"/>
                <w:sz w:val="21"/>
                <w:szCs w:val="21"/>
              </w:rPr>
              <w:lastRenderedPageBreak/>
              <w:t xml:space="preserve">Table 4. </w:t>
            </w:r>
            <w:r w:rsidR="004A1323">
              <w:rPr>
                <w:rFonts w:ascii="Segoe UI" w:hAnsi="Segoe UI" w:cs="Segoe UI"/>
                <w:b/>
                <w:color w:val="4B82AD"/>
                <w:sz w:val="21"/>
                <w:szCs w:val="21"/>
              </w:rPr>
              <w:t>Curaçao</w:t>
            </w:r>
            <w:r w:rsidRPr="001C6336">
              <w:rPr>
                <w:rFonts w:ascii="Segoe UI" w:hAnsi="Segoe UI" w:cs="Segoe UI"/>
                <w:b/>
                <w:color w:val="4B82AD"/>
                <w:sz w:val="21"/>
                <w:szCs w:val="21"/>
              </w:rPr>
              <w:t xml:space="preserve">: </w:t>
            </w:r>
            <w:r w:rsidR="004A1323">
              <w:rPr>
                <w:rFonts w:ascii="Segoe UI" w:hAnsi="Segoe UI" w:cs="Segoe UI"/>
                <w:b/>
                <w:color w:val="4B82AD"/>
                <w:sz w:val="21"/>
                <w:szCs w:val="21"/>
              </w:rPr>
              <w:t>Balance of Payments, 2016-24 - Baseline Scenario</w:t>
            </w:r>
          </w:p>
          <w:p w14:paraId="58947D8A" w14:textId="77777777" w:rsidR="00407410" w:rsidRPr="00D31DDC" w:rsidRDefault="00407410" w:rsidP="00E52923">
            <w:pPr>
              <w:spacing w:after="120"/>
              <w:jc w:val="center"/>
              <w:rPr>
                <w:rFonts w:ascii="Segoe UI" w:hAnsi="Segoe UI" w:cs="Segoe UI"/>
                <w:color w:val="4B82AD"/>
                <w:sz w:val="21"/>
                <w:szCs w:val="21"/>
              </w:rPr>
            </w:pPr>
            <w:r w:rsidRPr="00D31DDC">
              <w:rPr>
                <w:rFonts w:ascii="Segoe UI" w:hAnsi="Segoe UI" w:cs="Segoe UI"/>
                <w:color w:val="4B82AD"/>
                <w:sz w:val="21"/>
                <w:szCs w:val="21"/>
              </w:rPr>
              <w:t>(Percent of GDP unless otherwise indicated)</w:t>
            </w:r>
          </w:p>
        </w:tc>
      </w:tr>
      <w:tr w:rsidR="00407410" w:rsidRPr="004173BD" w14:paraId="776420F2" w14:textId="77777777" w:rsidTr="00E52923">
        <w:trPr>
          <w:trHeight w:val="272"/>
        </w:trPr>
        <w:tc>
          <w:tcPr>
            <w:tcW w:w="8984" w:type="dxa"/>
            <w:shd w:val="clear" w:color="auto" w:fill="auto"/>
          </w:tcPr>
          <w:p w14:paraId="6334B081" w14:textId="77777777" w:rsidR="00407410" w:rsidRPr="004173BD" w:rsidRDefault="009F256F" w:rsidP="00E52923">
            <w:pPr>
              <w:rPr>
                <w:rFonts w:ascii="Segoe UI" w:hAnsi="Segoe UI" w:cs="Segoe UI"/>
                <w:color w:val="000000" w:themeColor="text1"/>
              </w:rPr>
            </w:pPr>
            <w:r w:rsidRPr="009F256F">
              <w:rPr>
                <w:rFonts w:ascii="Segoe UI" w:hAnsi="Segoe UI" w:cs="Segoe UI"/>
                <w:noProof/>
                <w:color w:val="000000" w:themeColor="text1"/>
              </w:rPr>
              <w:drawing>
                <wp:inline distT="0" distB="0" distL="0" distR="0" wp14:anchorId="6C20FC0F" wp14:editId="4872ABF5">
                  <wp:extent cx="5802995" cy="73152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05112" cy="7317869"/>
                          </a:xfrm>
                          <a:prstGeom prst="rect">
                            <a:avLst/>
                          </a:prstGeom>
                          <a:noFill/>
                          <a:ln>
                            <a:noFill/>
                          </a:ln>
                        </pic:spPr>
                      </pic:pic>
                    </a:graphicData>
                  </a:graphic>
                </wp:inline>
              </w:drawing>
            </w:r>
          </w:p>
        </w:tc>
      </w:tr>
    </w:tbl>
    <w:p w14:paraId="5750ED2E" w14:textId="77777777" w:rsidR="004A1323" w:rsidRDefault="004A1323">
      <w:pPr>
        <w:spacing w:after="160" w:line="259" w:lineRule="auto"/>
      </w:pP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9456"/>
      </w:tblGrid>
      <w:tr w:rsidR="004A1323" w:rsidRPr="004173BD" w14:paraId="38C508B9" w14:textId="77777777" w:rsidTr="00E52923">
        <w:trPr>
          <w:trHeight w:val="368"/>
        </w:trPr>
        <w:tc>
          <w:tcPr>
            <w:tcW w:w="8984" w:type="dxa"/>
            <w:shd w:val="clear" w:color="auto" w:fill="auto"/>
            <w:vAlign w:val="center"/>
          </w:tcPr>
          <w:p w14:paraId="56A7F4EC" w14:textId="77777777" w:rsidR="004A1323" w:rsidRDefault="004A1323" w:rsidP="00E52923">
            <w:pPr>
              <w:jc w:val="center"/>
              <w:rPr>
                <w:rFonts w:ascii="Segoe UI" w:hAnsi="Segoe UI" w:cs="Segoe UI"/>
                <w:b/>
                <w:color w:val="4B82AD"/>
                <w:sz w:val="21"/>
                <w:szCs w:val="21"/>
              </w:rPr>
            </w:pPr>
            <w:r>
              <w:rPr>
                <w:rFonts w:ascii="Segoe UI" w:hAnsi="Segoe UI" w:cs="Segoe UI"/>
                <w:b/>
                <w:color w:val="4B82AD"/>
                <w:sz w:val="21"/>
                <w:szCs w:val="21"/>
              </w:rPr>
              <w:lastRenderedPageBreak/>
              <w:t>Table 5. Curaçao and Sint Maarten</w:t>
            </w:r>
            <w:r w:rsidRPr="001C6336">
              <w:rPr>
                <w:rFonts w:ascii="Segoe UI" w:hAnsi="Segoe UI" w:cs="Segoe UI"/>
                <w:b/>
                <w:color w:val="4B82AD"/>
                <w:sz w:val="21"/>
                <w:szCs w:val="21"/>
              </w:rPr>
              <w:t xml:space="preserve">: </w:t>
            </w:r>
            <w:r>
              <w:rPr>
                <w:rFonts w:ascii="Segoe UI" w:hAnsi="Segoe UI" w:cs="Segoe UI"/>
                <w:b/>
                <w:color w:val="4B82AD"/>
                <w:sz w:val="21"/>
                <w:szCs w:val="21"/>
              </w:rPr>
              <w:t>Balance of Payments, 2016-24 - Baseline Scenario</w:t>
            </w:r>
          </w:p>
          <w:p w14:paraId="046BDB34" w14:textId="77777777" w:rsidR="004A1323" w:rsidRPr="00D31DDC" w:rsidRDefault="004A1323" w:rsidP="00E52923">
            <w:pPr>
              <w:spacing w:after="120"/>
              <w:jc w:val="center"/>
              <w:rPr>
                <w:rFonts w:ascii="Segoe UI" w:hAnsi="Segoe UI" w:cs="Segoe UI"/>
                <w:color w:val="4B82AD"/>
                <w:sz w:val="21"/>
                <w:szCs w:val="21"/>
              </w:rPr>
            </w:pPr>
            <w:r w:rsidRPr="00D31DDC">
              <w:rPr>
                <w:rFonts w:ascii="Segoe UI" w:hAnsi="Segoe UI" w:cs="Segoe UI"/>
                <w:color w:val="4B82AD"/>
                <w:sz w:val="21"/>
                <w:szCs w:val="21"/>
              </w:rPr>
              <w:t>(Percent of GDP unless otherwise indicated)</w:t>
            </w:r>
          </w:p>
        </w:tc>
      </w:tr>
      <w:tr w:rsidR="004A1323" w:rsidRPr="004173BD" w14:paraId="7D7ECC74" w14:textId="77777777" w:rsidTr="00E52923">
        <w:trPr>
          <w:trHeight w:val="272"/>
        </w:trPr>
        <w:tc>
          <w:tcPr>
            <w:tcW w:w="8984" w:type="dxa"/>
            <w:shd w:val="clear" w:color="auto" w:fill="auto"/>
          </w:tcPr>
          <w:p w14:paraId="79EC68D6" w14:textId="5484464C" w:rsidR="004A1323" w:rsidRPr="004173BD" w:rsidRDefault="00EA5BE1" w:rsidP="00E52923">
            <w:pPr>
              <w:rPr>
                <w:rFonts w:ascii="Segoe UI" w:hAnsi="Segoe UI" w:cs="Segoe UI"/>
                <w:color w:val="000000" w:themeColor="text1"/>
              </w:rPr>
            </w:pPr>
            <w:r w:rsidRPr="00EA5BE1">
              <w:rPr>
                <w:rFonts w:ascii="Segoe UI" w:hAnsi="Segoe UI" w:cs="Segoe UI"/>
                <w:noProof/>
                <w:color w:val="000000" w:themeColor="text1"/>
              </w:rPr>
              <w:drawing>
                <wp:inline distT="0" distB="0" distL="0" distR="0" wp14:anchorId="60EB7C74" wp14:editId="309C1CE8">
                  <wp:extent cx="5867400" cy="68785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8575" cy="6879888"/>
                          </a:xfrm>
                          <a:prstGeom prst="rect">
                            <a:avLst/>
                          </a:prstGeom>
                          <a:noFill/>
                          <a:ln>
                            <a:noFill/>
                          </a:ln>
                        </pic:spPr>
                      </pic:pic>
                    </a:graphicData>
                  </a:graphic>
                </wp:inline>
              </w:drawing>
            </w:r>
          </w:p>
        </w:tc>
      </w:tr>
    </w:tbl>
    <w:p w14:paraId="047681F2" w14:textId="45689D00" w:rsidR="00407410" w:rsidRDefault="00407410" w:rsidP="00407410"/>
    <w:p w14:paraId="7055930C" w14:textId="77777777" w:rsidR="00407410" w:rsidRDefault="00407410" w:rsidP="00AE143B">
      <w:r>
        <w:br w:type="page"/>
      </w:r>
    </w:p>
    <w:tbl>
      <w:tblPr>
        <w:tblStyle w:val="TableGrid"/>
        <w:tblW w:w="931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9314"/>
      </w:tblGrid>
      <w:tr w:rsidR="00407410" w:rsidRPr="0075274C" w14:paraId="2EDE1482" w14:textId="77777777" w:rsidTr="00E52923">
        <w:trPr>
          <w:trHeight w:val="278"/>
          <w:jc w:val="center"/>
        </w:trPr>
        <w:tc>
          <w:tcPr>
            <w:tcW w:w="9314" w:type="dxa"/>
            <w:shd w:val="clear" w:color="auto" w:fill="auto"/>
            <w:vAlign w:val="center"/>
          </w:tcPr>
          <w:p w14:paraId="1DF72F4B" w14:textId="1CC3ABD4" w:rsidR="00407410" w:rsidRPr="00FE4C22" w:rsidRDefault="00407410" w:rsidP="00E52923">
            <w:pPr>
              <w:spacing w:after="120"/>
              <w:jc w:val="center"/>
              <w:rPr>
                <w:rFonts w:ascii="Segoe UI" w:hAnsi="Segoe UI" w:cs="Segoe UI"/>
                <w:b/>
                <w:color w:val="4B82AD"/>
                <w:sz w:val="21"/>
                <w:szCs w:val="21"/>
              </w:rPr>
            </w:pPr>
            <w:r w:rsidRPr="00FE4C22">
              <w:rPr>
                <w:rFonts w:ascii="Segoe UI" w:hAnsi="Segoe UI" w:cs="Segoe UI"/>
                <w:b/>
                <w:color w:val="4B82AD"/>
                <w:sz w:val="21"/>
                <w:szCs w:val="21"/>
              </w:rPr>
              <w:lastRenderedPageBreak/>
              <w:t>T</w:t>
            </w:r>
            <w:r>
              <w:rPr>
                <w:rFonts w:ascii="Segoe UI" w:hAnsi="Segoe UI" w:cs="Segoe UI"/>
                <w:b/>
                <w:color w:val="4B82AD"/>
                <w:sz w:val="21"/>
                <w:szCs w:val="21"/>
              </w:rPr>
              <w:t xml:space="preserve">able </w:t>
            </w:r>
            <w:r w:rsidR="00F300C0">
              <w:rPr>
                <w:rFonts w:ascii="Segoe UI" w:hAnsi="Segoe UI" w:cs="Segoe UI"/>
                <w:b/>
                <w:color w:val="4B82AD"/>
                <w:sz w:val="21"/>
                <w:szCs w:val="21"/>
              </w:rPr>
              <w:t>6</w:t>
            </w:r>
            <w:r>
              <w:rPr>
                <w:rFonts w:ascii="Segoe UI" w:hAnsi="Segoe UI" w:cs="Segoe UI"/>
                <w:b/>
                <w:color w:val="4B82AD"/>
                <w:sz w:val="21"/>
                <w:szCs w:val="21"/>
              </w:rPr>
              <w:t xml:space="preserve">. </w:t>
            </w:r>
            <w:r w:rsidR="004A1323">
              <w:rPr>
                <w:rFonts w:ascii="Segoe UI" w:hAnsi="Segoe UI" w:cs="Segoe UI"/>
                <w:b/>
                <w:color w:val="4B82AD"/>
                <w:sz w:val="21"/>
                <w:szCs w:val="21"/>
              </w:rPr>
              <w:t>Curaçao</w:t>
            </w:r>
            <w:r>
              <w:rPr>
                <w:rFonts w:ascii="Segoe UI" w:hAnsi="Segoe UI" w:cs="Segoe UI"/>
                <w:b/>
                <w:color w:val="4B82AD"/>
                <w:sz w:val="21"/>
                <w:szCs w:val="21"/>
              </w:rPr>
              <w:t>: Selected Economic Indicators 2016-2</w:t>
            </w:r>
            <w:r w:rsidR="004A1323">
              <w:rPr>
                <w:rFonts w:ascii="Segoe UI" w:hAnsi="Segoe UI" w:cs="Segoe UI"/>
                <w:b/>
                <w:color w:val="4B82AD"/>
                <w:sz w:val="21"/>
                <w:szCs w:val="21"/>
              </w:rPr>
              <w:t>4</w:t>
            </w:r>
            <w:r>
              <w:rPr>
                <w:rFonts w:ascii="Segoe UI" w:hAnsi="Segoe UI" w:cs="Segoe UI"/>
                <w:b/>
                <w:color w:val="4B82AD"/>
                <w:sz w:val="21"/>
                <w:szCs w:val="21"/>
              </w:rPr>
              <w:t xml:space="preserve"> – Illustrative A</w:t>
            </w:r>
            <w:r w:rsidR="00183B96">
              <w:rPr>
                <w:rFonts w:ascii="Segoe UI" w:hAnsi="Segoe UI" w:cs="Segoe UI"/>
                <w:b/>
                <w:color w:val="4B82AD"/>
                <w:sz w:val="21"/>
                <w:szCs w:val="21"/>
              </w:rPr>
              <w:t>djustment</w:t>
            </w:r>
            <w:r>
              <w:rPr>
                <w:rFonts w:ascii="Segoe UI" w:hAnsi="Segoe UI" w:cs="Segoe UI"/>
                <w:b/>
                <w:color w:val="4B82AD"/>
                <w:sz w:val="21"/>
                <w:szCs w:val="21"/>
              </w:rPr>
              <w:t xml:space="preserve"> Scenario</w:t>
            </w:r>
          </w:p>
        </w:tc>
      </w:tr>
      <w:tr w:rsidR="00407410" w:rsidRPr="0075274C" w14:paraId="6C88B5A2" w14:textId="77777777" w:rsidTr="00E52923">
        <w:trPr>
          <w:trHeight w:val="1932"/>
          <w:jc w:val="center"/>
        </w:trPr>
        <w:tc>
          <w:tcPr>
            <w:tcW w:w="9314" w:type="dxa"/>
            <w:shd w:val="clear" w:color="auto" w:fill="auto"/>
            <w:vAlign w:val="center"/>
          </w:tcPr>
          <w:p w14:paraId="18C584EA" w14:textId="4D439B61" w:rsidR="00407410" w:rsidRPr="0075274C" w:rsidRDefault="007F38A6" w:rsidP="00E52923">
            <w:pPr>
              <w:jc w:val="center"/>
              <w:rPr>
                <w:rFonts w:ascii="Segoe UI" w:hAnsi="Segoe UI" w:cs="Segoe UI"/>
                <w:color w:val="000000" w:themeColor="text1"/>
                <w:sz w:val="21"/>
                <w:szCs w:val="21"/>
              </w:rPr>
            </w:pPr>
            <w:r w:rsidRPr="007F38A6">
              <w:rPr>
                <w:rFonts w:ascii="Segoe UI" w:hAnsi="Segoe UI" w:cs="Segoe UI"/>
                <w:noProof/>
                <w:color w:val="000000" w:themeColor="text1"/>
                <w:sz w:val="21"/>
                <w:szCs w:val="21"/>
              </w:rPr>
              <w:drawing>
                <wp:inline distT="0" distB="0" distL="0" distR="0" wp14:anchorId="42F47C7F" wp14:editId="66CC78CF">
                  <wp:extent cx="5775960" cy="5440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5960" cy="5440680"/>
                          </a:xfrm>
                          <a:prstGeom prst="rect">
                            <a:avLst/>
                          </a:prstGeom>
                          <a:noFill/>
                          <a:ln>
                            <a:noFill/>
                          </a:ln>
                        </pic:spPr>
                      </pic:pic>
                    </a:graphicData>
                  </a:graphic>
                </wp:inline>
              </w:drawing>
            </w:r>
          </w:p>
        </w:tc>
      </w:tr>
    </w:tbl>
    <w:p w14:paraId="53AD03A2" w14:textId="77777777" w:rsidR="00407410" w:rsidRDefault="00407410" w:rsidP="00407410"/>
    <w:p w14:paraId="2F713A64" w14:textId="77777777" w:rsidR="00407410" w:rsidRDefault="00407410" w:rsidP="00407410">
      <w:pPr>
        <w:spacing w:after="160" w:line="259" w:lineRule="auto"/>
      </w:pPr>
      <w:r>
        <w:br w:type="page"/>
      </w:r>
    </w:p>
    <w:tbl>
      <w:tblPr>
        <w:tblStyle w:val="TableGrid"/>
        <w:tblW w:w="931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9314"/>
      </w:tblGrid>
      <w:tr w:rsidR="00407410" w:rsidRPr="0075274C" w14:paraId="6083E15B" w14:textId="77777777" w:rsidTr="00E52923">
        <w:trPr>
          <w:trHeight w:val="278"/>
          <w:jc w:val="center"/>
        </w:trPr>
        <w:tc>
          <w:tcPr>
            <w:tcW w:w="9314" w:type="dxa"/>
            <w:shd w:val="clear" w:color="auto" w:fill="auto"/>
            <w:vAlign w:val="center"/>
          </w:tcPr>
          <w:p w14:paraId="25D9CE52" w14:textId="36E2ECD2" w:rsidR="00407410" w:rsidRDefault="00407410" w:rsidP="00E52923">
            <w:pPr>
              <w:jc w:val="center"/>
              <w:rPr>
                <w:rFonts w:ascii="Segoe UI" w:hAnsi="Segoe UI" w:cs="Segoe UI"/>
                <w:b/>
                <w:color w:val="4B82AD"/>
                <w:sz w:val="21"/>
                <w:szCs w:val="21"/>
              </w:rPr>
            </w:pPr>
            <w:r w:rsidRPr="00FE4C22">
              <w:rPr>
                <w:rFonts w:ascii="Segoe UI" w:hAnsi="Segoe UI" w:cs="Segoe UI"/>
                <w:b/>
                <w:color w:val="4B82AD"/>
                <w:sz w:val="21"/>
                <w:szCs w:val="21"/>
              </w:rPr>
              <w:lastRenderedPageBreak/>
              <w:t>T</w:t>
            </w:r>
            <w:r>
              <w:rPr>
                <w:rFonts w:ascii="Segoe UI" w:hAnsi="Segoe UI" w:cs="Segoe UI"/>
                <w:b/>
                <w:color w:val="4B82AD"/>
                <w:sz w:val="21"/>
                <w:szCs w:val="21"/>
              </w:rPr>
              <w:t xml:space="preserve">able </w:t>
            </w:r>
            <w:r w:rsidR="00F300C0">
              <w:rPr>
                <w:rFonts w:ascii="Segoe UI" w:hAnsi="Segoe UI" w:cs="Segoe UI"/>
                <w:b/>
                <w:color w:val="4B82AD"/>
                <w:sz w:val="21"/>
                <w:szCs w:val="21"/>
              </w:rPr>
              <w:t>7</w:t>
            </w:r>
            <w:r>
              <w:rPr>
                <w:rFonts w:ascii="Segoe UI" w:hAnsi="Segoe UI" w:cs="Segoe UI"/>
                <w:b/>
                <w:color w:val="4B82AD"/>
                <w:sz w:val="21"/>
                <w:szCs w:val="21"/>
              </w:rPr>
              <w:t xml:space="preserve">. </w:t>
            </w:r>
            <w:r w:rsidR="004A1323">
              <w:rPr>
                <w:rFonts w:ascii="Segoe UI" w:hAnsi="Segoe UI" w:cs="Segoe UI"/>
                <w:b/>
                <w:color w:val="4B82AD"/>
                <w:sz w:val="21"/>
                <w:szCs w:val="21"/>
              </w:rPr>
              <w:t>Curaçao</w:t>
            </w:r>
            <w:r>
              <w:rPr>
                <w:rFonts w:ascii="Segoe UI" w:hAnsi="Segoe UI" w:cs="Segoe UI"/>
                <w:b/>
                <w:color w:val="4B82AD"/>
                <w:sz w:val="21"/>
                <w:szCs w:val="21"/>
              </w:rPr>
              <w:t>: Government Operations 2016-2</w:t>
            </w:r>
            <w:r w:rsidR="004A1323">
              <w:rPr>
                <w:rFonts w:ascii="Segoe UI" w:hAnsi="Segoe UI" w:cs="Segoe UI"/>
                <w:b/>
                <w:color w:val="4B82AD"/>
                <w:sz w:val="21"/>
                <w:szCs w:val="21"/>
              </w:rPr>
              <w:t>4</w:t>
            </w:r>
            <w:r>
              <w:rPr>
                <w:rFonts w:ascii="Segoe UI" w:hAnsi="Segoe UI" w:cs="Segoe UI"/>
                <w:b/>
                <w:color w:val="4B82AD"/>
                <w:sz w:val="21"/>
                <w:szCs w:val="21"/>
              </w:rPr>
              <w:t xml:space="preserve"> – Illustrative </w:t>
            </w:r>
            <w:r w:rsidR="00183B96">
              <w:rPr>
                <w:rFonts w:ascii="Segoe UI" w:hAnsi="Segoe UI" w:cs="Segoe UI"/>
                <w:b/>
                <w:color w:val="4B82AD"/>
                <w:sz w:val="21"/>
                <w:szCs w:val="21"/>
              </w:rPr>
              <w:t>Adjustment</w:t>
            </w:r>
            <w:r>
              <w:rPr>
                <w:rFonts w:ascii="Segoe UI" w:hAnsi="Segoe UI" w:cs="Segoe UI"/>
                <w:b/>
                <w:color w:val="4B82AD"/>
                <w:sz w:val="21"/>
                <w:szCs w:val="21"/>
              </w:rPr>
              <w:t xml:space="preserve"> Scenario</w:t>
            </w:r>
          </w:p>
          <w:p w14:paraId="2FCCD7E9" w14:textId="77777777" w:rsidR="00407410" w:rsidRPr="006215D9" w:rsidRDefault="00407410" w:rsidP="00E52923">
            <w:pPr>
              <w:spacing w:after="120"/>
              <w:jc w:val="center"/>
              <w:rPr>
                <w:rFonts w:ascii="Segoe UI" w:hAnsi="Segoe UI" w:cs="Segoe UI"/>
                <w:color w:val="4B82AD"/>
                <w:sz w:val="21"/>
                <w:szCs w:val="21"/>
              </w:rPr>
            </w:pPr>
            <w:r w:rsidRPr="00921023">
              <w:rPr>
                <w:rFonts w:ascii="Segoe UI" w:hAnsi="Segoe UI" w:cs="Segoe UI"/>
                <w:color w:val="4B82AD"/>
                <w:sz w:val="21"/>
                <w:szCs w:val="21"/>
              </w:rPr>
              <w:t xml:space="preserve">(Millions of </w:t>
            </w:r>
            <w:proofErr w:type="spellStart"/>
            <w:r w:rsidRPr="00921023">
              <w:rPr>
                <w:rFonts w:ascii="Segoe UI" w:hAnsi="Segoe UI" w:cs="Segoe UI"/>
                <w:color w:val="4B82AD"/>
                <w:sz w:val="21"/>
                <w:szCs w:val="21"/>
              </w:rPr>
              <w:t>NAf</w:t>
            </w:r>
            <w:proofErr w:type="spellEnd"/>
            <w:r w:rsidRPr="00921023">
              <w:rPr>
                <w:rFonts w:ascii="Segoe UI" w:hAnsi="Segoe UI" w:cs="Segoe UI"/>
                <w:color w:val="4B82AD"/>
                <w:sz w:val="21"/>
                <w:szCs w:val="21"/>
              </w:rPr>
              <w:t xml:space="preserve"> unless otherwise indicated)</w:t>
            </w:r>
          </w:p>
        </w:tc>
      </w:tr>
      <w:tr w:rsidR="00407410" w:rsidRPr="0075274C" w14:paraId="67C1E87F" w14:textId="77777777" w:rsidTr="00E52923">
        <w:trPr>
          <w:trHeight w:val="1932"/>
          <w:jc w:val="center"/>
        </w:trPr>
        <w:tc>
          <w:tcPr>
            <w:tcW w:w="9314" w:type="dxa"/>
            <w:shd w:val="clear" w:color="auto" w:fill="auto"/>
            <w:vAlign w:val="center"/>
          </w:tcPr>
          <w:p w14:paraId="3E69467C" w14:textId="77777777" w:rsidR="00407410" w:rsidRPr="0075274C" w:rsidRDefault="007A3F9A" w:rsidP="00E52923">
            <w:pPr>
              <w:rPr>
                <w:rFonts w:ascii="Segoe UI" w:hAnsi="Segoe UI" w:cs="Segoe UI"/>
                <w:color w:val="000000" w:themeColor="text1"/>
                <w:sz w:val="21"/>
                <w:szCs w:val="21"/>
              </w:rPr>
            </w:pPr>
            <w:r w:rsidRPr="007A3F9A">
              <w:rPr>
                <w:rFonts w:ascii="Segoe UI" w:hAnsi="Segoe UI" w:cs="Segoe UI"/>
                <w:noProof/>
                <w:color w:val="000000" w:themeColor="text1"/>
                <w:sz w:val="21"/>
                <w:szCs w:val="21"/>
              </w:rPr>
              <w:drawing>
                <wp:inline distT="0" distB="0" distL="0" distR="0" wp14:anchorId="16546238" wp14:editId="3E48B472">
                  <wp:extent cx="5775960" cy="62026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75960" cy="6202680"/>
                          </a:xfrm>
                          <a:prstGeom prst="rect">
                            <a:avLst/>
                          </a:prstGeom>
                          <a:noFill/>
                          <a:ln>
                            <a:noFill/>
                          </a:ln>
                        </pic:spPr>
                      </pic:pic>
                    </a:graphicData>
                  </a:graphic>
                </wp:inline>
              </w:drawing>
            </w:r>
          </w:p>
        </w:tc>
      </w:tr>
    </w:tbl>
    <w:p w14:paraId="15014E18" w14:textId="77777777" w:rsidR="00407410" w:rsidRDefault="00407410" w:rsidP="00407410"/>
    <w:p w14:paraId="6E1DAF28" w14:textId="77777777" w:rsidR="00407410" w:rsidRDefault="00407410" w:rsidP="00407410">
      <w:pPr>
        <w:spacing w:after="160" w:line="259" w:lineRule="auto"/>
      </w:pPr>
      <w:r>
        <w:br w:type="page"/>
      </w:r>
    </w:p>
    <w:p w14:paraId="03D57377" w14:textId="77777777" w:rsidR="00407410" w:rsidRDefault="00407410" w:rsidP="00407410"/>
    <w:tbl>
      <w:tblPr>
        <w:tblStyle w:val="TableGrid"/>
        <w:tblW w:w="931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9314"/>
      </w:tblGrid>
      <w:tr w:rsidR="00407410" w:rsidRPr="0075274C" w14:paraId="6AFFCC3E" w14:textId="77777777" w:rsidTr="00E52923">
        <w:trPr>
          <w:trHeight w:val="278"/>
          <w:jc w:val="center"/>
        </w:trPr>
        <w:tc>
          <w:tcPr>
            <w:tcW w:w="9314" w:type="dxa"/>
            <w:shd w:val="clear" w:color="auto" w:fill="auto"/>
            <w:vAlign w:val="center"/>
          </w:tcPr>
          <w:p w14:paraId="2EBB5F4B" w14:textId="3AA41060" w:rsidR="00407410" w:rsidRDefault="00407410" w:rsidP="00E52923">
            <w:pPr>
              <w:jc w:val="center"/>
              <w:rPr>
                <w:rFonts w:ascii="Segoe UI" w:hAnsi="Segoe UI" w:cs="Segoe UI"/>
                <w:b/>
                <w:color w:val="4B82AD"/>
                <w:sz w:val="21"/>
                <w:szCs w:val="21"/>
              </w:rPr>
            </w:pPr>
            <w:r w:rsidRPr="00FE4C22">
              <w:rPr>
                <w:rFonts w:ascii="Segoe UI" w:hAnsi="Segoe UI" w:cs="Segoe UI"/>
                <w:b/>
                <w:color w:val="4B82AD"/>
                <w:sz w:val="21"/>
                <w:szCs w:val="21"/>
              </w:rPr>
              <w:t>T</w:t>
            </w:r>
            <w:r>
              <w:rPr>
                <w:rFonts w:ascii="Segoe UI" w:hAnsi="Segoe UI" w:cs="Segoe UI"/>
                <w:b/>
                <w:color w:val="4B82AD"/>
                <w:sz w:val="21"/>
                <w:szCs w:val="21"/>
              </w:rPr>
              <w:t xml:space="preserve">able </w:t>
            </w:r>
            <w:r w:rsidR="00F300C0">
              <w:rPr>
                <w:rFonts w:ascii="Segoe UI" w:hAnsi="Segoe UI" w:cs="Segoe UI"/>
                <w:b/>
                <w:color w:val="4B82AD"/>
                <w:sz w:val="21"/>
                <w:szCs w:val="21"/>
              </w:rPr>
              <w:t>8</w:t>
            </w:r>
            <w:r>
              <w:rPr>
                <w:rFonts w:ascii="Segoe UI" w:hAnsi="Segoe UI" w:cs="Segoe UI"/>
                <w:b/>
                <w:color w:val="4B82AD"/>
                <w:sz w:val="21"/>
                <w:szCs w:val="21"/>
              </w:rPr>
              <w:t xml:space="preserve">. </w:t>
            </w:r>
            <w:r w:rsidR="004A1323">
              <w:rPr>
                <w:rFonts w:ascii="Segoe UI" w:hAnsi="Segoe UI" w:cs="Segoe UI"/>
                <w:b/>
                <w:color w:val="4B82AD"/>
                <w:sz w:val="21"/>
                <w:szCs w:val="21"/>
              </w:rPr>
              <w:t>Curaçao</w:t>
            </w:r>
            <w:r>
              <w:rPr>
                <w:rFonts w:ascii="Segoe UI" w:hAnsi="Segoe UI" w:cs="Segoe UI"/>
                <w:b/>
                <w:color w:val="4B82AD"/>
                <w:sz w:val="21"/>
                <w:szCs w:val="21"/>
              </w:rPr>
              <w:t>: Government Operations 2016-2</w:t>
            </w:r>
            <w:r w:rsidR="004A1323">
              <w:rPr>
                <w:rFonts w:ascii="Segoe UI" w:hAnsi="Segoe UI" w:cs="Segoe UI"/>
                <w:b/>
                <w:color w:val="4B82AD"/>
                <w:sz w:val="21"/>
                <w:szCs w:val="21"/>
              </w:rPr>
              <w:t>4</w:t>
            </w:r>
            <w:r>
              <w:rPr>
                <w:rFonts w:ascii="Segoe UI" w:hAnsi="Segoe UI" w:cs="Segoe UI"/>
                <w:b/>
                <w:color w:val="4B82AD"/>
                <w:sz w:val="21"/>
                <w:szCs w:val="21"/>
              </w:rPr>
              <w:t xml:space="preserve"> – Illustrative A</w:t>
            </w:r>
            <w:r w:rsidR="00183B96">
              <w:rPr>
                <w:rFonts w:ascii="Segoe UI" w:hAnsi="Segoe UI" w:cs="Segoe UI"/>
                <w:b/>
                <w:color w:val="4B82AD"/>
                <w:sz w:val="21"/>
                <w:szCs w:val="21"/>
              </w:rPr>
              <w:t>djustment</w:t>
            </w:r>
            <w:r>
              <w:rPr>
                <w:rFonts w:ascii="Segoe UI" w:hAnsi="Segoe UI" w:cs="Segoe UI"/>
                <w:b/>
                <w:color w:val="4B82AD"/>
                <w:sz w:val="21"/>
                <w:szCs w:val="21"/>
              </w:rPr>
              <w:t xml:space="preserve"> Scenario</w:t>
            </w:r>
          </w:p>
          <w:p w14:paraId="65438986" w14:textId="77777777" w:rsidR="00407410" w:rsidRPr="006215D9" w:rsidRDefault="00407410" w:rsidP="00E52923">
            <w:pPr>
              <w:spacing w:after="120"/>
              <w:jc w:val="center"/>
              <w:rPr>
                <w:rFonts w:ascii="Segoe UI" w:hAnsi="Segoe UI" w:cs="Segoe UI"/>
                <w:color w:val="4B82AD"/>
                <w:sz w:val="21"/>
                <w:szCs w:val="21"/>
              </w:rPr>
            </w:pPr>
            <w:r w:rsidRPr="00921023">
              <w:rPr>
                <w:rFonts w:ascii="Segoe UI" w:hAnsi="Segoe UI" w:cs="Segoe UI"/>
                <w:color w:val="4B82AD"/>
                <w:sz w:val="21"/>
                <w:szCs w:val="21"/>
              </w:rPr>
              <w:t>(</w:t>
            </w:r>
            <w:r>
              <w:rPr>
                <w:rFonts w:ascii="Segoe UI" w:hAnsi="Segoe UI" w:cs="Segoe UI"/>
                <w:color w:val="4B82AD"/>
                <w:sz w:val="21"/>
                <w:szCs w:val="21"/>
              </w:rPr>
              <w:t>Percent of GDP</w:t>
            </w:r>
            <w:r w:rsidRPr="00921023">
              <w:rPr>
                <w:rFonts w:ascii="Segoe UI" w:hAnsi="Segoe UI" w:cs="Segoe UI"/>
                <w:color w:val="4B82AD"/>
                <w:sz w:val="21"/>
                <w:szCs w:val="21"/>
              </w:rPr>
              <w:t xml:space="preserve"> unless otherwise indicated)</w:t>
            </w:r>
          </w:p>
        </w:tc>
      </w:tr>
      <w:tr w:rsidR="00407410" w:rsidRPr="0075274C" w14:paraId="50213138" w14:textId="77777777" w:rsidTr="00E52923">
        <w:trPr>
          <w:trHeight w:val="1932"/>
          <w:jc w:val="center"/>
        </w:trPr>
        <w:tc>
          <w:tcPr>
            <w:tcW w:w="9314" w:type="dxa"/>
            <w:shd w:val="clear" w:color="auto" w:fill="auto"/>
            <w:vAlign w:val="center"/>
          </w:tcPr>
          <w:p w14:paraId="724B5C4F" w14:textId="77777777" w:rsidR="00407410" w:rsidRPr="0075274C" w:rsidRDefault="007A3F9A" w:rsidP="00E52923">
            <w:pPr>
              <w:jc w:val="center"/>
              <w:rPr>
                <w:rFonts w:ascii="Segoe UI" w:hAnsi="Segoe UI" w:cs="Segoe UI"/>
                <w:color w:val="000000" w:themeColor="text1"/>
                <w:sz w:val="21"/>
                <w:szCs w:val="21"/>
              </w:rPr>
            </w:pPr>
            <w:r w:rsidRPr="007A3F9A">
              <w:rPr>
                <w:rFonts w:ascii="Segoe UI" w:hAnsi="Segoe UI" w:cs="Segoe UI"/>
                <w:noProof/>
                <w:color w:val="000000" w:themeColor="text1"/>
                <w:sz w:val="21"/>
                <w:szCs w:val="21"/>
              </w:rPr>
              <w:drawing>
                <wp:inline distT="0" distB="0" distL="0" distR="0" wp14:anchorId="063F40CE" wp14:editId="43A5DE27">
                  <wp:extent cx="5775960" cy="5676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5960" cy="5676900"/>
                          </a:xfrm>
                          <a:prstGeom prst="rect">
                            <a:avLst/>
                          </a:prstGeom>
                          <a:noFill/>
                          <a:ln>
                            <a:noFill/>
                          </a:ln>
                        </pic:spPr>
                      </pic:pic>
                    </a:graphicData>
                  </a:graphic>
                </wp:inline>
              </w:drawing>
            </w:r>
          </w:p>
        </w:tc>
      </w:tr>
    </w:tbl>
    <w:p w14:paraId="246A0830" w14:textId="77777777" w:rsidR="00F300C0" w:rsidRDefault="00F300C0" w:rsidP="00407410"/>
    <w:p w14:paraId="12C8E0EC" w14:textId="77777777" w:rsidR="00F300C0" w:rsidRDefault="00F300C0">
      <w:pPr>
        <w:spacing w:after="160" w:line="259" w:lineRule="auto"/>
      </w:pPr>
      <w:r>
        <w:br w:type="page"/>
      </w:r>
    </w:p>
    <w:tbl>
      <w:tblPr>
        <w:tblStyle w:val="TableGrid"/>
        <w:tblW w:w="931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9314"/>
      </w:tblGrid>
      <w:tr w:rsidR="00F300C0" w:rsidRPr="0075274C" w14:paraId="2CB65F43" w14:textId="77777777" w:rsidTr="00946123">
        <w:trPr>
          <w:trHeight w:val="278"/>
          <w:jc w:val="center"/>
        </w:trPr>
        <w:tc>
          <w:tcPr>
            <w:tcW w:w="9314" w:type="dxa"/>
            <w:shd w:val="clear" w:color="auto" w:fill="auto"/>
            <w:vAlign w:val="center"/>
          </w:tcPr>
          <w:p w14:paraId="4CCCA368" w14:textId="431515C8" w:rsidR="00F300C0" w:rsidRDefault="00F300C0" w:rsidP="00946123">
            <w:pPr>
              <w:jc w:val="center"/>
              <w:rPr>
                <w:rFonts w:ascii="Segoe UI" w:hAnsi="Segoe UI" w:cs="Segoe UI"/>
                <w:b/>
                <w:color w:val="4B82AD"/>
                <w:sz w:val="21"/>
                <w:szCs w:val="21"/>
              </w:rPr>
            </w:pPr>
            <w:r>
              <w:rPr>
                <w:rFonts w:ascii="Segoe UI" w:hAnsi="Segoe UI" w:cs="Segoe UI"/>
                <w:b/>
                <w:color w:val="4B82AD"/>
                <w:sz w:val="21"/>
                <w:szCs w:val="21"/>
              </w:rPr>
              <w:lastRenderedPageBreak/>
              <w:t xml:space="preserve">Table 9. Curaçao: Scenario Comparison, 2018-2024 </w:t>
            </w:r>
          </w:p>
          <w:p w14:paraId="61A5B24F" w14:textId="77777777" w:rsidR="00F300C0" w:rsidRPr="00FE4C22" w:rsidRDefault="00F300C0" w:rsidP="00946123">
            <w:pPr>
              <w:spacing w:after="120"/>
              <w:jc w:val="center"/>
              <w:rPr>
                <w:rFonts w:ascii="Segoe UI" w:hAnsi="Segoe UI" w:cs="Segoe UI"/>
                <w:b/>
                <w:color w:val="4B82AD"/>
                <w:sz w:val="21"/>
                <w:szCs w:val="21"/>
              </w:rPr>
            </w:pPr>
            <w:r w:rsidRPr="00D31DDC">
              <w:rPr>
                <w:rFonts w:ascii="Segoe UI" w:hAnsi="Segoe UI" w:cs="Segoe UI"/>
                <w:color w:val="4B82AD"/>
                <w:sz w:val="21"/>
                <w:szCs w:val="21"/>
              </w:rPr>
              <w:t>(Percent of GDP unless indicated</w:t>
            </w:r>
            <w:r>
              <w:rPr>
                <w:rFonts w:ascii="Segoe UI" w:hAnsi="Segoe UI" w:cs="Segoe UI"/>
                <w:color w:val="4B82AD"/>
                <w:sz w:val="21"/>
                <w:szCs w:val="21"/>
              </w:rPr>
              <w:t xml:space="preserve"> otherwise</w:t>
            </w:r>
            <w:r w:rsidRPr="00D31DDC">
              <w:rPr>
                <w:rFonts w:ascii="Segoe UI" w:hAnsi="Segoe UI" w:cs="Segoe UI"/>
                <w:color w:val="4B82AD"/>
                <w:sz w:val="21"/>
                <w:szCs w:val="21"/>
              </w:rPr>
              <w:t>)</w:t>
            </w:r>
          </w:p>
        </w:tc>
      </w:tr>
      <w:tr w:rsidR="00F300C0" w:rsidRPr="0075274C" w14:paraId="74239456" w14:textId="77777777" w:rsidTr="00946123">
        <w:trPr>
          <w:trHeight w:val="1932"/>
          <w:jc w:val="center"/>
        </w:trPr>
        <w:tc>
          <w:tcPr>
            <w:tcW w:w="9314" w:type="dxa"/>
            <w:shd w:val="clear" w:color="auto" w:fill="auto"/>
            <w:vAlign w:val="center"/>
          </w:tcPr>
          <w:p w14:paraId="6B7149A8" w14:textId="77777777" w:rsidR="00F300C0" w:rsidRPr="0075274C" w:rsidRDefault="00F300C0" w:rsidP="00946123">
            <w:pPr>
              <w:jc w:val="center"/>
              <w:rPr>
                <w:rFonts w:ascii="Segoe UI" w:hAnsi="Segoe UI" w:cs="Segoe UI"/>
                <w:color w:val="000000" w:themeColor="text1"/>
                <w:sz w:val="21"/>
                <w:szCs w:val="21"/>
              </w:rPr>
            </w:pPr>
            <w:r w:rsidRPr="009F256F">
              <w:rPr>
                <w:rFonts w:ascii="Segoe UI" w:hAnsi="Segoe UI" w:cs="Segoe UI"/>
                <w:noProof/>
                <w:color w:val="000000" w:themeColor="text1"/>
                <w:sz w:val="21"/>
                <w:szCs w:val="21"/>
              </w:rPr>
              <w:drawing>
                <wp:inline distT="0" distB="0" distL="0" distR="0" wp14:anchorId="4D48444D" wp14:editId="68711869">
                  <wp:extent cx="5768340" cy="49834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8340" cy="4983480"/>
                          </a:xfrm>
                          <a:prstGeom prst="rect">
                            <a:avLst/>
                          </a:prstGeom>
                          <a:noFill/>
                          <a:ln>
                            <a:noFill/>
                          </a:ln>
                        </pic:spPr>
                      </pic:pic>
                    </a:graphicData>
                  </a:graphic>
                </wp:inline>
              </w:drawing>
            </w:r>
            <w:r>
              <w:rPr>
                <w:rFonts w:ascii="Segoe UI" w:hAnsi="Segoe UI" w:cs="Segoe UI"/>
                <w:color w:val="000000" w:themeColor="text1"/>
                <w:sz w:val="21"/>
                <w:szCs w:val="21"/>
              </w:rPr>
              <w:t xml:space="preserve"> </w:t>
            </w:r>
          </w:p>
        </w:tc>
      </w:tr>
    </w:tbl>
    <w:p w14:paraId="13FE8D13" w14:textId="77777777" w:rsidR="00407410" w:rsidRPr="00434904" w:rsidRDefault="00407410" w:rsidP="00407410"/>
    <w:p w14:paraId="2776BFAF" w14:textId="77777777" w:rsidR="00407410" w:rsidRPr="00CE4A79" w:rsidRDefault="00407410" w:rsidP="00407410"/>
    <w:p w14:paraId="11A475BE" w14:textId="77777777" w:rsidR="0008327E" w:rsidRPr="00434904" w:rsidRDefault="0008327E" w:rsidP="003601EF"/>
    <w:sectPr w:rsidR="0008327E" w:rsidRPr="00434904" w:rsidSect="00683F9E">
      <w:headerReference w:type="even" r:id="rId21"/>
      <w:headerReference w:type="default" r:id="rId22"/>
      <w:headerReference w:type="first" r:id="rId23"/>
      <w:type w:val="continuous"/>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D8C9" w14:textId="77777777" w:rsidR="00884A55" w:rsidRDefault="00884A55" w:rsidP="000B7010">
      <w:pPr>
        <w:spacing w:line="240" w:lineRule="auto"/>
      </w:pPr>
      <w:r>
        <w:separator/>
      </w:r>
    </w:p>
  </w:endnote>
  <w:endnote w:type="continuationSeparator" w:id="0">
    <w:p w14:paraId="53A5DAF5" w14:textId="77777777" w:rsidR="00884A55" w:rsidRDefault="00884A55" w:rsidP="000B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46B23" w14:textId="77777777" w:rsidR="00884A55" w:rsidRDefault="00884A55" w:rsidP="000B7010">
      <w:pPr>
        <w:spacing w:line="240" w:lineRule="auto"/>
      </w:pPr>
      <w:r>
        <w:separator/>
      </w:r>
    </w:p>
  </w:footnote>
  <w:footnote w:type="continuationSeparator" w:id="0">
    <w:p w14:paraId="0456C28F" w14:textId="77777777" w:rsidR="00884A55" w:rsidRDefault="00884A55" w:rsidP="000B7010">
      <w:pPr>
        <w:spacing w:line="240" w:lineRule="auto"/>
      </w:pPr>
      <w:r>
        <w:continuationSeparator/>
      </w:r>
    </w:p>
  </w:footnote>
  <w:footnote w:id="1">
    <w:p w14:paraId="63ABFFFC" w14:textId="77777777" w:rsidR="007E1F7F" w:rsidRDefault="007E1F7F" w:rsidP="001058DA">
      <w:pPr>
        <w:pStyle w:val="FootnoteText"/>
        <w:spacing w:after="120"/>
      </w:pPr>
      <w:r>
        <w:rPr>
          <w:rStyle w:val="FootnoteReference"/>
        </w:rPr>
        <w:footnoteRef/>
      </w:r>
      <w:r>
        <w:t xml:space="preserve"> B</w:t>
      </w:r>
      <w:r w:rsidRPr="009F3AB7">
        <w:t>e</w:t>
      </w:r>
      <w:r>
        <w:t>fore the decline in production (2014-16), the refinery accounted for about 7 percent of GDP and employed about 1000 staff and 750 contractors (about 3 percent of total employment in Cura</w:t>
      </w:r>
      <w:r w:rsidRPr="009F3AB7">
        <w:t>ç</w:t>
      </w:r>
      <w:r>
        <w:t>ao), although the total share of the petroleum sector in GDP and employment was larger due to related activities such as</w:t>
      </w:r>
      <w:r w:rsidR="001372BA">
        <w:t xml:space="preserve"> oil</w:t>
      </w:r>
      <w:r>
        <w:t xml:space="preserve"> </w:t>
      </w:r>
      <w:r w:rsidR="00E15FC9">
        <w:t>trans</w:t>
      </w:r>
      <w:r w:rsidR="000A65F7">
        <w:t>s</w:t>
      </w:r>
      <w:r w:rsidR="00E15FC9">
        <w:t>hipment</w:t>
      </w:r>
      <w:r w:rsidR="001372BA">
        <w:t xml:space="preserve"> and storage</w:t>
      </w:r>
      <w:r>
        <w:t>.</w:t>
      </w:r>
    </w:p>
  </w:footnote>
  <w:footnote w:id="2">
    <w:p w14:paraId="588842EF" w14:textId="77777777" w:rsidR="00D30A2A" w:rsidRDefault="00D30A2A" w:rsidP="001058DA">
      <w:pPr>
        <w:pStyle w:val="FootnoteText"/>
        <w:spacing w:after="120"/>
      </w:pPr>
      <w:r>
        <w:rPr>
          <w:rStyle w:val="FootnoteReference"/>
        </w:rPr>
        <w:footnoteRef/>
      </w:r>
      <w:r>
        <w:t xml:space="preserve"> </w:t>
      </w:r>
      <w:r w:rsidR="00D943F9">
        <w:t>The contract</w:t>
      </w:r>
      <w:r w:rsidR="00CA34F4">
        <w:t xml:space="preserve"> with PDVSA</w:t>
      </w:r>
      <w:r w:rsidR="00D943F9">
        <w:t xml:space="preserve"> expires in end-2019. </w:t>
      </w:r>
      <w:r w:rsidR="002C5C0E">
        <w:t>G</w:t>
      </w:r>
      <w:r w:rsidR="00D943F9">
        <w:t>iven the very high uncertainty</w:t>
      </w:r>
      <w:r w:rsidR="002C5C0E">
        <w:t xml:space="preserve"> regarding finding a new operator for the refinery</w:t>
      </w:r>
      <w:r w:rsidR="00D943F9">
        <w:t>, staff</w:t>
      </w:r>
      <w:r w:rsidR="002C5C0E">
        <w:t xml:space="preserve"> assume</w:t>
      </w:r>
      <w:r w:rsidR="00231339">
        <w:t>d</w:t>
      </w:r>
      <w:r w:rsidR="002C5C0E">
        <w:t xml:space="preserve"> a zero contribution to GDP from the refinery starting from 2020</w:t>
      </w:r>
      <w:r w:rsidR="00D943F9">
        <w:t xml:space="preserve">. </w:t>
      </w:r>
    </w:p>
  </w:footnote>
  <w:footnote w:id="3">
    <w:p w14:paraId="7E7CA33C" w14:textId="77777777" w:rsidR="00513CC7" w:rsidRDefault="00513CC7" w:rsidP="001058DA">
      <w:pPr>
        <w:pStyle w:val="FootnoteText"/>
        <w:spacing w:after="120"/>
      </w:pPr>
      <w:r>
        <w:rPr>
          <w:rStyle w:val="FootnoteReference"/>
        </w:rPr>
        <w:footnoteRef/>
      </w:r>
      <w:r>
        <w:t xml:space="preserve"> In this note, the quoted current fiscal deficits follow the authorities’ definition.</w:t>
      </w:r>
    </w:p>
  </w:footnote>
  <w:footnote w:id="4">
    <w:p w14:paraId="0E8F41E4" w14:textId="356C5BB6" w:rsidR="009D2FDB" w:rsidRDefault="009D2FDB" w:rsidP="001058DA">
      <w:pPr>
        <w:pStyle w:val="FootnoteText"/>
        <w:spacing w:after="120"/>
      </w:pPr>
      <w:r>
        <w:rPr>
          <w:rStyle w:val="FootnoteReference"/>
        </w:rPr>
        <w:footnoteRef/>
      </w:r>
      <w:r w:rsidR="00A03B28">
        <w:t xml:space="preserve"> The</w:t>
      </w:r>
      <w:r>
        <w:t xml:space="preserve"> </w:t>
      </w:r>
      <w:proofErr w:type="spellStart"/>
      <w:r>
        <w:t>Cft</w:t>
      </w:r>
      <w:proofErr w:type="spellEnd"/>
      <w:r>
        <w:t xml:space="preserve"> </w:t>
      </w:r>
      <w:r w:rsidR="003C3E52">
        <w:t>proposes</w:t>
      </w:r>
      <w:r>
        <w:t xml:space="preserve"> to compensate the cumulative current fiscal deficit from 2017-19 over three years by achieving current surpluses of equal size in each year over 2020-22, effectively frontloading the entire adjustment to </w:t>
      </w:r>
      <w:r w:rsidR="00C422F8">
        <w:t>2020</w:t>
      </w:r>
      <w:r>
        <w:t xml:space="preserve">. For example, if the 2019 current deficit is 1.7 percent of GDP as projected in the staff’s baseline scenario, this approach would require surpluses of about 1.7 percent of GDP in 2020-22. However, </w:t>
      </w:r>
      <w:r w:rsidR="008860FD">
        <w:t xml:space="preserve">in 2020, </w:t>
      </w:r>
      <w:r>
        <w:t>this would imply an adjustment of about 3</w:t>
      </w:r>
      <w:r w:rsidR="00D61169">
        <w:t>.4</w:t>
      </w:r>
      <w:r>
        <w:t xml:space="preserve"> percent of GDP. An adjustment of this magnitude in </w:t>
      </w:r>
      <w:r w:rsidR="00A03B28">
        <w:t>an</w:t>
      </w:r>
      <w:r>
        <w:t xml:space="preserve"> environment of continued economic weakness can be counterproductive as it could lead to further contraction (estimated at 1½ percent 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7B96" w14:textId="77777777" w:rsidR="00E52923" w:rsidRDefault="00E52923" w:rsidP="005F722E">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92D2" w14:textId="77777777" w:rsidR="00E52923" w:rsidRPr="000F106A" w:rsidRDefault="00E52923" w:rsidP="000F106A">
    <w:pPr>
      <w:pStyle w:val="Header"/>
      <w:tabs>
        <w:tab w:val="clear" w:pos="4320"/>
        <w:tab w:val="clear" w:pos="8640"/>
        <w:tab w:val="center" w:pos="1980"/>
        <w:tab w:val="right" w:pos="3960"/>
      </w:tabs>
      <w:jc w:val="right"/>
      <w:rPr>
        <w:rFonts w:asciiTheme="minorHAnsi" w:hAnsiTheme="minorHAnsi" w:cstheme="minorHAnsi"/>
        <w:sz w:val="22"/>
      </w:rPr>
    </w:pPr>
  </w:p>
  <w:p w14:paraId="46E425E1" w14:textId="77777777" w:rsidR="00E52923" w:rsidRDefault="00E52923" w:rsidP="005F722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0DDF3" w14:textId="77777777" w:rsidR="00E52923" w:rsidRDefault="00E529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B1EC" w14:textId="77777777" w:rsidR="00E52923" w:rsidRDefault="00E52923" w:rsidP="005F722E">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ADED" w14:textId="77777777" w:rsidR="00E52923" w:rsidRDefault="00E52923" w:rsidP="005F72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10EF411B"/>
    <w:multiLevelType w:val="hybridMultilevel"/>
    <w:tmpl w:val="15EA3A4C"/>
    <w:lvl w:ilvl="0" w:tplc="4036D8F0">
      <w:numFmt w:val="bullet"/>
      <w:lvlText w:val=""/>
      <w:lvlJc w:val="left"/>
      <w:pPr>
        <w:ind w:left="360" w:hanging="360"/>
      </w:pPr>
      <w:rPr>
        <w:rFonts w:ascii="Symbol" w:eastAsiaTheme="minorHAnsi" w:hAnsi="Symbol"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8B0805"/>
    <w:multiLevelType w:val="hybridMultilevel"/>
    <w:tmpl w:val="E884C1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1319D8"/>
    <w:multiLevelType w:val="hybridMultilevel"/>
    <w:tmpl w:val="442E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E31CD"/>
    <w:multiLevelType w:val="hybridMultilevel"/>
    <w:tmpl w:val="17A8F5FA"/>
    <w:lvl w:ilvl="0" w:tplc="11A4FD46">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A15A1"/>
    <w:multiLevelType w:val="multilevel"/>
    <w:tmpl w:val="68701036"/>
    <w:lvl w:ilvl="0">
      <w:start w:val="1"/>
      <w:numFmt w:val="upperRoman"/>
      <w:pStyle w:val="Heading1"/>
      <w:suff w:val="nothing"/>
      <w:lvlText w:val="%1.   "/>
      <w:lvlJc w:val="left"/>
      <w:pPr>
        <w:ind w:left="0" w:firstLine="0"/>
      </w:pPr>
      <w:rPr>
        <w:rFonts w:hint="default"/>
      </w:rPr>
    </w:lvl>
    <w:lvl w:ilvl="1">
      <w:start w:val="1"/>
      <w:numFmt w:val="upperLetter"/>
      <w:pStyle w:val="Heading2"/>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11"/>
  </w:num>
  <w:num w:numId="2">
    <w:abstractNumId w:val="11"/>
  </w:num>
  <w:num w:numId="3">
    <w:abstractNumId w:val="5"/>
  </w:num>
  <w:num w:numId="4">
    <w:abstractNumId w:val="5"/>
  </w:num>
  <w:num w:numId="5">
    <w:abstractNumId w:val="3"/>
  </w:num>
  <w:num w:numId="6">
    <w:abstractNumId w:val="3"/>
  </w:num>
  <w:num w:numId="7">
    <w:abstractNumId w:val="2"/>
  </w:num>
  <w:num w:numId="8">
    <w:abstractNumId w:val="2"/>
  </w:num>
  <w:num w:numId="9">
    <w:abstractNumId w:val="1"/>
  </w:num>
  <w:num w:numId="10">
    <w:abstractNumId w:val="1"/>
  </w:num>
  <w:num w:numId="11">
    <w:abstractNumId w:val="0"/>
  </w:num>
  <w:num w:numId="12">
    <w:abstractNumId w:val="0"/>
  </w:num>
  <w:num w:numId="13">
    <w:abstractNumId w:val="4"/>
  </w:num>
  <w:num w:numId="14">
    <w:abstractNumId w:val="4"/>
  </w:num>
  <w:num w:numId="15">
    <w:abstractNumId w:val="7"/>
  </w:num>
  <w:num w:numId="16">
    <w:abstractNumId w:val="10"/>
  </w:num>
  <w:num w:numId="17">
    <w:abstractNumId w:val="6"/>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6A"/>
    <w:rsid w:val="00007412"/>
    <w:rsid w:val="00010987"/>
    <w:rsid w:val="00011A0A"/>
    <w:rsid w:val="00020E9F"/>
    <w:rsid w:val="00022B80"/>
    <w:rsid w:val="000257B6"/>
    <w:rsid w:val="00026618"/>
    <w:rsid w:val="00030A39"/>
    <w:rsid w:val="000320F2"/>
    <w:rsid w:val="00051848"/>
    <w:rsid w:val="00051FDA"/>
    <w:rsid w:val="00054ECA"/>
    <w:rsid w:val="00057FD8"/>
    <w:rsid w:val="0007298F"/>
    <w:rsid w:val="00076C30"/>
    <w:rsid w:val="00077A49"/>
    <w:rsid w:val="0008327E"/>
    <w:rsid w:val="00091C69"/>
    <w:rsid w:val="00095762"/>
    <w:rsid w:val="00095B58"/>
    <w:rsid w:val="00095CC7"/>
    <w:rsid w:val="000A16ED"/>
    <w:rsid w:val="000A1AEE"/>
    <w:rsid w:val="000A2616"/>
    <w:rsid w:val="000A5BEB"/>
    <w:rsid w:val="000A65F7"/>
    <w:rsid w:val="000B2DA4"/>
    <w:rsid w:val="000B2DAB"/>
    <w:rsid w:val="000B7010"/>
    <w:rsid w:val="000C7A9B"/>
    <w:rsid w:val="000D4276"/>
    <w:rsid w:val="000E7A03"/>
    <w:rsid w:val="000F106A"/>
    <w:rsid w:val="000F18B5"/>
    <w:rsid w:val="00100A42"/>
    <w:rsid w:val="001058DA"/>
    <w:rsid w:val="00122DB4"/>
    <w:rsid w:val="00127F02"/>
    <w:rsid w:val="00133CEE"/>
    <w:rsid w:val="0013541C"/>
    <w:rsid w:val="001357DE"/>
    <w:rsid w:val="001372BA"/>
    <w:rsid w:val="00137DAD"/>
    <w:rsid w:val="00137E96"/>
    <w:rsid w:val="00144DF0"/>
    <w:rsid w:val="00146887"/>
    <w:rsid w:val="00146BAE"/>
    <w:rsid w:val="0015066D"/>
    <w:rsid w:val="00151A84"/>
    <w:rsid w:val="001528E3"/>
    <w:rsid w:val="00156B76"/>
    <w:rsid w:val="00162089"/>
    <w:rsid w:val="0016412D"/>
    <w:rsid w:val="001661BF"/>
    <w:rsid w:val="00176FD4"/>
    <w:rsid w:val="0017770B"/>
    <w:rsid w:val="001809E3"/>
    <w:rsid w:val="001810C6"/>
    <w:rsid w:val="00182377"/>
    <w:rsid w:val="00183B96"/>
    <w:rsid w:val="001847EE"/>
    <w:rsid w:val="00186843"/>
    <w:rsid w:val="001878D3"/>
    <w:rsid w:val="00193E4D"/>
    <w:rsid w:val="0019784C"/>
    <w:rsid w:val="001A01BA"/>
    <w:rsid w:val="001A62F7"/>
    <w:rsid w:val="001B06A5"/>
    <w:rsid w:val="001B08B9"/>
    <w:rsid w:val="001B09B0"/>
    <w:rsid w:val="001B3DB6"/>
    <w:rsid w:val="001C6A70"/>
    <w:rsid w:val="001D081E"/>
    <w:rsid w:val="001D7384"/>
    <w:rsid w:val="001E0CB9"/>
    <w:rsid w:val="001E27EC"/>
    <w:rsid w:val="001E5B5D"/>
    <w:rsid w:val="001F11B3"/>
    <w:rsid w:val="001F4D5F"/>
    <w:rsid w:val="001F6A09"/>
    <w:rsid w:val="00201FB2"/>
    <w:rsid w:val="00203A22"/>
    <w:rsid w:val="00204064"/>
    <w:rsid w:val="00204DF5"/>
    <w:rsid w:val="00206C51"/>
    <w:rsid w:val="002103BC"/>
    <w:rsid w:val="002111C0"/>
    <w:rsid w:val="00213DFB"/>
    <w:rsid w:val="00214272"/>
    <w:rsid w:val="00220B5E"/>
    <w:rsid w:val="00221700"/>
    <w:rsid w:val="00221737"/>
    <w:rsid w:val="00224698"/>
    <w:rsid w:val="002254A6"/>
    <w:rsid w:val="00227CAE"/>
    <w:rsid w:val="00231339"/>
    <w:rsid w:val="00232FB2"/>
    <w:rsid w:val="0024444F"/>
    <w:rsid w:val="00247062"/>
    <w:rsid w:val="002506FE"/>
    <w:rsid w:val="0025784F"/>
    <w:rsid w:val="00261159"/>
    <w:rsid w:val="00262465"/>
    <w:rsid w:val="00263EB0"/>
    <w:rsid w:val="00266FFF"/>
    <w:rsid w:val="002723E8"/>
    <w:rsid w:val="00275B38"/>
    <w:rsid w:val="002861AA"/>
    <w:rsid w:val="002872FE"/>
    <w:rsid w:val="00292A49"/>
    <w:rsid w:val="0029388B"/>
    <w:rsid w:val="00296783"/>
    <w:rsid w:val="002A3024"/>
    <w:rsid w:val="002B317A"/>
    <w:rsid w:val="002B3B4E"/>
    <w:rsid w:val="002B4BD4"/>
    <w:rsid w:val="002B6C06"/>
    <w:rsid w:val="002C090D"/>
    <w:rsid w:val="002C25A2"/>
    <w:rsid w:val="002C5BB8"/>
    <w:rsid w:val="002C5C0E"/>
    <w:rsid w:val="002C5F76"/>
    <w:rsid w:val="002D0FA2"/>
    <w:rsid w:val="002D6311"/>
    <w:rsid w:val="002E17FF"/>
    <w:rsid w:val="002E26D2"/>
    <w:rsid w:val="002E2FAA"/>
    <w:rsid w:val="002E3704"/>
    <w:rsid w:val="002E66B7"/>
    <w:rsid w:val="002E6D05"/>
    <w:rsid w:val="003012CF"/>
    <w:rsid w:val="00305660"/>
    <w:rsid w:val="00305A55"/>
    <w:rsid w:val="00311439"/>
    <w:rsid w:val="00313478"/>
    <w:rsid w:val="00314EA8"/>
    <w:rsid w:val="00321E42"/>
    <w:rsid w:val="00325E95"/>
    <w:rsid w:val="00326951"/>
    <w:rsid w:val="0033273E"/>
    <w:rsid w:val="00333F7D"/>
    <w:rsid w:val="00340A33"/>
    <w:rsid w:val="0034419E"/>
    <w:rsid w:val="003477CB"/>
    <w:rsid w:val="003526A7"/>
    <w:rsid w:val="00353348"/>
    <w:rsid w:val="00357BA2"/>
    <w:rsid w:val="003601EF"/>
    <w:rsid w:val="00364A8E"/>
    <w:rsid w:val="00367825"/>
    <w:rsid w:val="003712A7"/>
    <w:rsid w:val="00371ED9"/>
    <w:rsid w:val="0037467A"/>
    <w:rsid w:val="003852A2"/>
    <w:rsid w:val="00395CE2"/>
    <w:rsid w:val="003A4213"/>
    <w:rsid w:val="003B0282"/>
    <w:rsid w:val="003B030D"/>
    <w:rsid w:val="003B04A1"/>
    <w:rsid w:val="003B0DC2"/>
    <w:rsid w:val="003B6458"/>
    <w:rsid w:val="003C11BF"/>
    <w:rsid w:val="003C1D26"/>
    <w:rsid w:val="003C2220"/>
    <w:rsid w:val="003C2651"/>
    <w:rsid w:val="003C3E52"/>
    <w:rsid w:val="003C4DF7"/>
    <w:rsid w:val="003C547A"/>
    <w:rsid w:val="003D1A2D"/>
    <w:rsid w:val="003D2443"/>
    <w:rsid w:val="003D386A"/>
    <w:rsid w:val="003D5663"/>
    <w:rsid w:val="003D785E"/>
    <w:rsid w:val="003D7B8F"/>
    <w:rsid w:val="003F4A7B"/>
    <w:rsid w:val="00400CBD"/>
    <w:rsid w:val="00401A85"/>
    <w:rsid w:val="00405C6A"/>
    <w:rsid w:val="00406D6B"/>
    <w:rsid w:val="00407410"/>
    <w:rsid w:val="00412A8A"/>
    <w:rsid w:val="004131CC"/>
    <w:rsid w:val="00421556"/>
    <w:rsid w:val="00423094"/>
    <w:rsid w:val="004275CB"/>
    <w:rsid w:val="00434904"/>
    <w:rsid w:val="0044124B"/>
    <w:rsid w:val="00441EAD"/>
    <w:rsid w:val="004421C7"/>
    <w:rsid w:val="00451C5C"/>
    <w:rsid w:val="00451C7E"/>
    <w:rsid w:val="0045324B"/>
    <w:rsid w:val="0045478C"/>
    <w:rsid w:val="0046010C"/>
    <w:rsid w:val="00461599"/>
    <w:rsid w:val="00466F32"/>
    <w:rsid w:val="00467633"/>
    <w:rsid w:val="004738AF"/>
    <w:rsid w:val="00481005"/>
    <w:rsid w:val="00497B67"/>
    <w:rsid w:val="004A1323"/>
    <w:rsid w:val="004A3313"/>
    <w:rsid w:val="004A3F7B"/>
    <w:rsid w:val="004A677E"/>
    <w:rsid w:val="004B1049"/>
    <w:rsid w:val="004B2F6C"/>
    <w:rsid w:val="004B4380"/>
    <w:rsid w:val="004B5319"/>
    <w:rsid w:val="004C5AAF"/>
    <w:rsid w:val="004D10B1"/>
    <w:rsid w:val="004E4C20"/>
    <w:rsid w:val="004E524F"/>
    <w:rsid w:val="004E7525"/>
    <w:rsid w:val="004F5B94"/>
    <w:rsid w:val="004F7A23"/>
    <w:rsid w:val="00501339"/>
    <w:rsid w:val="005021AC"/>
    <w:rsid w:val="00505D84"/>
    <w:rsid w:val="005109C7"/>
    <w:rsid w:val="00512A69"/>
    <w:rsid w:val="00512AC8"/>
    <w:rsid w:val="00513CC7"/>
    <w:rsid w:val="00522FF6"/>
    <w:rsid w:val="00527B01"/>
    <w:rsid w:val="00527FA0"/>
    <w:rsid w:val="00531040"/>
    <w:rsid w:val="00532850"/>
    <w:rsid w:val="00535246"/>
    <w:rsid w:val="00536F89"/>
    <w:rsid w:val="0054044D"/>
    <w:rsid w:val="00546952"/>
    <w:rsid w:val="00547C11"/>
    <w:rsid w:val="0055180E"/>
    <w:rsid w:val="00565464"/>
    <w:rsid w:val="005719BF"/>
    <w:rsid w:val="0057237A"/>
    <w:rsid w:val="005764EC"/>
    <w:rsid w:val="00576632"/>
    <w:rsid w:val="00576BA3"/>
    <w:rsid w:val="005777F5"/>
    <w:rsid w:val="00582169"/>
    <w:rsid w:val="0058699E"/>
    <w:rsid w:val="00587356"/>
    <w:rsid w:val="00587E64"/>
    <w:rsid w:val="00594A5B"/>
    <w:rsid w:val="005A2698"/>
    <w:rsid w:val="005B1E2A"/>
    <w:rsid w:val="005B2547"/>
    <w:rsid w:val="005B4584"/>
    <w:rsid w:val="005B69CE"/>
    <w:rsid w:val="005B75A2"/>
    <w:rsid w:val="005C0460"/>
    <w:rsid w:val="005C251F"/>
    <w:rsid w:val="005C6B88"/>
    <w:rsid w:val="005D2EA3"/>
    <w:rsid w:val="005D690C"/>
    <w:rsid w:val="005F6757"/>
    <w:rsid w:val="005F67A0"/>
    <w:rsid w:val="005F6B44"/>
    <w:rsid w:val="005F722E"/>
    <w:rsid w:val="0060168F"/>
    <w:rsid w:val="006023BC"/>
    <w:rsid w:val="00603457"/>
    <w:rsid w:val="0060374F"/>
    <w:rsid w:val="006039CF"/>
    <w:rsid w:val="00612C87"/>
    <w:rsid w:val="0061550F"/>
    <w:rsid w:val="00617E51"/>
    <w:rsid w:val="006212FB"/>
    <w:rsid w:val="00632D68"/>
    <w:rsid w:val="00643C7B"/>
    <w:rsid w:val="006548CB"/>
    <w:rsid w:val="00654F90"/>
    <w:rsid w:val="00664219"/>
    <w:rsid w:val="006650D0"/>
    <w:rsid w:val="006666F7"/>
    <w:rsid w:val="006739E7"/>
    <w:rsid w:val="00675598"/>
    <w:rsid w:val="00683F9E"/>
    <w:rsid w:val="00685290"/>
    <w:rsid w:val="00685F36"/>
    <w:rsid w:val="00686108"/>
    <w:rsid w:val="00686536"/>
    <w:rsid w:val="0069486B"/>
    <w:rsid w:val="00695842"/>
    <w:rsid w:val="006A1F34"/>
    <w:rsid w:val="006A7871"/>
    <w:rsid w:val="006B18EB"/>
    <w:rsid w:val="006B51D6"/>
    <w:rsid w:val="006B6334"/>
    <w:rsid w:val="006C0677"/>
    <w:rsid w:val="006C0936"/>
    <w:rsid w:val="006C2FE8"/>
    <w:rsid w:val="006C6626"/>
    <w:rsid w:val="006D7605"/>
    <w:rsid w:val="006D772B"/>
    <w:rsid w:val="006E1D49"/>
    <w:rsid w:val="006E2EAF"/>
    <w:rsid w:val="006E471D"/>
    <w:rsid w:val="006E70C5"/>
    <w:rsid w:val="006F658C"/>
    <w:rsid w:val="0070155E"/>
    <w:rsid w:val="00701A7C"/>
    <w:rsid w:val="00713977"/>
    <w:rsid w:val="00715BE8"/>
    <w:rsid w:val="007218B0"/>
    <w:rsid w:val="007315EF"/>
    <w:rsid w:val="00751DA8"/>
    <w:rsid w:val="00760CE8"/>
    <w:rsid w:val="00770256"/>
    <w:rsid w:val="00771911"/>
    <w:rsid w:val="007753DC"/>
    <w:rsid w:val="007761B0"/>
    <w:rsid w:val="00780174"/>
    <w:rsid w:val="007A146C"/>
    <w:rsid w:val="007A2421"/>
    <w:rsid w:val="007A2A71"/>
    <w:rsid w:val="007A3F9A"/>
    <w:rsid w:val="007A459E"/>
    <w:rsid w:val="007A4D99"/>
    <w:rsid w:val="007B02BB"/>
    <w:rsid w:val="007B37A4"/>
    <w:rsid w:val="007B4C12"/>
    <w:rsid w:val="007C027F"/>
    <w:rsid w:val="007C06F8"/>
    <w:rsid w:val="007C32BC"/>
    <w:rsid w:val="007C68F3"/>
    <w:rsid w:val="007D2F7A"/>
    <w:rsid w:val="007D30FF"/>
    <w:rsid w:val="007D7FC6"/>
    <w:rsid w:val="007E10C4"/>
    <w:rsid w:val="007E1DB4"/>
    <w:rsid w:val="007E1F7F"/>
    <w:rsid w:val="007F2883"/>
    <w:rsid w:val="007F38A6"/>
    <w:rsid w:val="00803A9E"/>
    <w:rsid w:val="008064D6"/>
    <w:rsid w:val="008125EB"/>
    <w:rsid w:val="00816162"/>
    <w:rsid w:val="00817F6D"/>
    <w:rsid w:val="008367F7"/>
    <w:rsid w:val="00837CA4"/>
    <w:rsid w:val="00841CF6"/>
    <w:rsid w:val="00841F26"/>
    <w:rsid w:val="00846515"/>
    <w:rsid w:val="00851E34"/>
    <w:rsid w:val="008618EA"/>
    <w:rsid w:val="00861B95"/>
    <w:rsid w:val="008641A0"/>
    <w:rsid w:val="00865C7D"/>
    <w:rsid w:val="008668DC"/>
    <w:rsid w:val="0086766A"/>
    <w:rsid w:val="00867CE0"/>
    <w:rsid w:val="00874269"/>
    <w:rsid w:val="008815A1"/>
    <w:rsid w:val="00883005"/>
    <w:rsid w:val="00884A55"/>
    <w:rsid w:val="00885087"/>
    <w:rsid w:val="008860FD"/>
    <w:rsid w:val="008864D0"/>
    <w:rsid w:val="008937A4"/>
    <w:rsid w:val="008964E4"/>
    <w:rsid w:val="008A3DEB"/>
    <w:rsid w:val="008A60AC"/>
    <w:rsid w:val="008B66DD"/>
    <w:rsid w:val="008B6E92"/>
    <w:rsid w:val="008C1477"/>
    <w:rsid w:val="008C286F"/>
    <w:rsid w:val="008D143A"/>
    <w:rsid w:val="008E4122"/>
    <w:rsid w:val="008E6A93"/>
    <w:rsid w:val="008F15DC"/>
    <w:rsid w:val="008F3829"/>
    <w:rsid w:val="009117E0"/>
    <w:rsid w:val="00921023"/>
    <w:rsid w:val="00921945"/>
    <w:rsid w:val="00926FA6"/>
    <w:rsid w:val="0093544F"/>
    <w:rsid w:val="00940F73"/>
    <w:rsid w:val="009418E0"/>
    <w:rsid w:val="00941CD5"/>
    <w:rsid w:val="00963301"/>
    <w:rsid w:val="00972CA4"/>
    <w:rsid w:val="0097566E"/>
    <w:rsid w:val="00976FAC"/>
    <w:rsid w:val="009800EB"/>
    <w:rsid w:val="009858EB"/>
    <w:rsid w:val="009901AE"/>
    <w:rsid w:val="0099077A"/>
    <w:rsid w:val="0099659F"/>
    <w:rsid w:val="009A237C"/>
    <w:rsid w:val="009A3990"/>
    <w:rsid w:val="009A6E18"/>
    <w:rsid w:val="009B2F3F"/>
    <w:rsid w:val="009B4A1D"/>
    <w:rsid w:val="009B4F22"/>
    <w:rsid w:val="009B5F71"/>
    <w:rsid w:val="009B7033"/>
    <w:rsid w:val="009B7D54"/>
    <w:rsid w:val="009C077A"/>
    <w:rsid w:val="009C2AA4"/>
    <w:rsid w:val="009C5465"/>
    <w:rsid w:val="009C648B"/>
    <w:rsid w:val="009D2FDB"/>
    <w:rsid w:val="009D3912"/>
    <w:rsid w:val="009D5CF5"/>
    <w:rsid w:val="009E75F7"/>
    <w:rsid w:val="009F1C22"/>
    <w:rsid w:val="009F256F"/>
    <w:rsid w:val="009F3DEB"/>
    <w:rsid w:val="009F4F1C"/>
    <w:rsid w:val="00A03B28"/>
    <w:rsid w:val="00A04EF3"/>
    <w:rsid w:val="00A0527B"/>
    <w:rsid w:val="00A1334C"/>
    <w:rsid w:val="00A14284"/>
    <w:rsid w:val="00A14712"/>
    <w:rsid w:val="00A16B49"/>
    <w:rsid w:val="00A1745F"/>
    <w:rsid w:val="00A30330"/>
    <w:rsid w:val="00A50C19"/>
    <w:rsid w:val="00A51F59"/>
    <w:rsid w:val="00A52382"/>
    <w:rsid w:val="00A61B3A"/>
    <w:rsid w:val="00A63B92"/>
    <w:rsid w:val="00A64D4C"/>
    <w:rsid w:val="00A7539F"/>
    <w:rsid w:val="00A776FF"/>
    <w:rsid w:val="00A77BF6"/>
    <w:rsid w:val="00A81603"/>
    <w:rsid w:val="00A85378"/>
    <w:rsid w:val="00A9207B"/>
    <w:rsid w:val="00A94AC1"/>
    <w:rsid w:val="00AA1314"/>
    <w:rsid w:val="00AA28F7"/>
    <w:rsid w:val="00AC1614"/>
    <w:rsid w:val="00AC520F"/>
    <w:rsid w:val="00AD0C60"/>
    <w:rsid w:val="00AD146A"/>
    <w:rsid w:val="00AD2D61"/>
    <w:rsid w:val="00AD3245"/>
    <w:rsid w:val="00AD4B77"/>
    <w:rsid w:val="00AE143B"/>
    <w:rsid w:val="00AF2CAA"/>
    <w:rsid w:val="00AF5FB5"/>
    <w:rsid w:val="00AF6FA6"/>
    <w:rsid w:val="00B01BE4"/>
    <w:rsid w:val="00B043B2"/>
    <w:rsid w:val="00B177A4"/>
    <w:rsid w:val="00B208FF"/>
    <w:rsid w:val="00B20DD7"/>
    <w:rsid w:val="00B25B53"/>
    <w:rsid w:val="00B32675"/>
    <w:rsid w:val="00B3365D"/>
    <w:rsid w:val="00B340BA"/>
    <w:rsid w:val="00B357FA"/>
    <w:rsid w:val="00B40026"/>
    <w:rsid w:val="00B422AE"/>
    <w:rsid w:val="00B42E1A"/>
    <w:rsid w:val="00B457AC"/>
    <w:rsid w:val="00B47182"/>
    <w:rsid w:val="00B472B7"/>
    <w:rsid w:val="00B47D11"/>
    <w:rsid w:val="00B51ADF"/>
    <w:rsid w:val="00B6680F"/>
    <w:rsid w:val="00B7295B"/>
    <w:rsid w:val="00B73F0F"/>
    <w:rsid w:val="00B742DD"/>
    <w:rsid w:val="00B81273"/>
    <w:rsid w:val="00B92BC8"/>
    <w:rsid w:val="00BB34FE"/>
    <w:rsid w:val="00BC02C1"/>
    <w:rsid w:val="00BC136C"/>
    <w:rsid w:val="00BC59C9"/>
    <w:rsid w:val="00BC5DE2"/>
    <w:rsid w:val="00BD61BC"/>
    <w:rsid w:val="00BF16B8"/>
    <w:rsid w:val="00BF2104"/>
    <w:rsid w:val="00BF4082"/>
    <w:rsid w:val="00BF54DB"/>
    <w:rsid w:val="00BF6B31"/>
    <w:rsid w:val="00C05BCA"/>
    <w:rsid w:val="00C1044E"/>
    <w:rsid w:val="00C12910"/>
    <w:rsid w:val="00C15339"/>
    <w:rsid w:val="00C17406"/>
    <w:rsid w:val="00C17DBA"/>
    <w:rsid w:val="00C20087"/>
    <w:rsid w:val="00C206B3"/>
    <w:rsid w:val="00C25EDB"/>
    <w:rsid w:val="00C32483"/>
    <w:rsid w:val="00C35D18"/>
    <w:rsid w:val="00C422F8"/>
    <w:rsid w:val="00C663D5"/>
    <w:rsid w:val="00C70055"/>
    <w:rsid w:val="00C7429C"/>
    <w:rsid w:val="00C7716D"/>
    <w:rsid w:val="00C778BA"/>
    <w:rsid w:val="00C82B46"/>
    <w:rsid w:val="00C8326C"/>
    <w:rsid w:val="00C83D66"/>
    <w:rsid w:val="00C844CB"/>
    <w:rsid w:val="00C92119"/>
    <w:rsid w:val="00C931B7"/>
    <w:rsid w:val="00C935AF"/>
    <w:rsid w:val="00C93C4F"/>
    <w:rsid w:val="00C94E8A"/>
    <w:rsid w:val="00C94ED5"/>
    <w:rsid w:val="00C9654C"/>
    <w:rsid w:val="00CA1A1F"/>
    <w:rsid w:val="00CA1D39"/>
    <w:rsid w:val="00CA34F4"/>
    <w:rsid w:val="00CB24E2"/>
    <w:rsid w:val="00CB328B"/>
    <w:rsid w:val="00CC4EDF"/>
    <w:rsid w:val="00CD7103"/>
    <w:rsid w:val="00CE4A79"/>
    <w:rsid w:val="00CE67D4"/>
    <w:rsid w:val="00CE76A1"/>
    <w:rsid w:val="00CF1471"/>
    <w:rsid w:val="00CF26FE"/>
    <w:rsid w:val="00D0120A"/>
    <w:rsid w:val="00D012EB"/>
    <w:rsid w:val="00D072F3"/>
    <w:rsid w:val="00D0741B"/>
    <w:rsid w:val="00D12A2C"/>
    <w:rsid w:val="00D2289C"/>
    <w:rsid w:val="00D30A2A"/>
    <w:rsid w:val="00D3346E"/>
    <w:rsid w:val="00D34F53"/>
    <w:rsid w:val="00D45259"/>
    <w:rsid w:val="00D5142D"/>
    <w:rsid w:val="00D55FD5"/>
    <w:rsid w:val="00D6015F"/>
    <w:rsid w:val="00D61169"/>
    <w:rsid w:val="00D65981"/>
    <w:rsid w:val="00D719A3"/>
    <w:rsid w:val="00D7204A"/>
    <w:rsid w:val="00D76F9C"/>
    <w:rsid w:val="00D823B5"/>
    <w:rsid w:val="00D836A3"/>
    <w:rsid w:val="00D84E45"/>
    <w:rsid w:val="00D87D23"/>
    <w:rsid w:val="00D87E53"/>
    <w:rsid w:val="00D91113"/>
    <w:rsid w:val="00D922DB"/>
    <w:rsid w:val="00D943F9"/>
    <w:rsid w:val="00D95689"/>
    <w:rsid w:val="00D970E7"/>
    <w:rsid w:val="00D97822"/>
    <w:rsid w:val="00DA7B86"/>
    <w:rsid w:val="00DB0973"/>
    <w:rsid w:val="00DB26FF"/>
    <w:rsid w:val="00DB6083"/>
    <w:rsid w:val="00DB70C7"/>
    <w:rsid w:val="00DC0B22"/>
    <w:rsid w:val="00DC5F14"/>
    <w:rsid w:val="00DD5726"/>
    <w:rsid w:val="00DE63FB"/>
    <w:rsid w:val="00DE7012"/>
    <w:rsid w:val="00DF133C"/>
    <w:rsid w:val="00E030EA"/>
    <w:rsid w:val="00E0432F"/>
    <w:rsid w:val="00E1027C"/>
    <w:rsid w:val="00E10E27"/>
    <w:rsid w:val="00E12414"/>
    <w:rsid w:val="00E15FC9"/>
    <w:rsid w:val="00E234B8"/>
    <w:rsid w:val="00E2503D"/>
    <w:rsid w:val="00E31EAF"/>
    <w:rsid w:val="00E3243A"/>
    <w:rsid w:val="00E3659F"/>
    <w:rsid w:val="00E37F45"/>
    <w:rsid w:val="00E41FD6"/>
    <w:rsid w:val="00E450C2"/>
    <w:rsid w:val="00E52923"/>
    <w:rsid w:val="00E55F89"/>
    <w:rsid w:val="00E77666"/>
    <w:rsid w:val="00E80289"/>
    <w:rsid w:val="00E84423"/>
    <w:rsid w:val="00E84D13"/>
    <w:rsid w:val="00E85AA2"/>
    <w:rsid w:val="00E86EA1"/>
    <w:rsid w:val="00E97A39"/>
    <w:rsid w:val="00EA18A0"/>
    <w:rsid w:val="00EA31B4"/>
    <w:rsid w:val="00EA5753"/>
    <w:rsid w:val="00EA5BE1"/>
    <w:rsid w:val="00EA6FC6"/>
    <w:rsid w:val="00EB34B6"/>
    <w:rsid w:val="00EB5AA4"/>
    <w:rsid w:val="00EB62E4"/>
    <w:rsid w:val="00EC288E"/>
    <w:rsid w:val="00EC4B48"/>
    <w:rsid w:val="00EC5687"/>
    <w:rsid w:val="00EC75A5"/>
    <w:rsid w:val="00ED0968"/>
    <w:rsid w:val="00ED0DBC"/>
    <w:rsid w:val="00ED2F54"/>
    <w:rsid w:val="00ED5254"/>
    <w:rsid w:val="00EE09BF"/>
    <w:rsid w:val="00EE173B"/>
    <w:rsid w:val="00EE7D05"/>
    <w:rsid w:val="00EF4C63"/>
    <w:rsid w:val="00EF5BD3"/>
    <w:rsid w:val="00F01C4A"/>
    <w:rsid w:val="00F043D2"/>
    <w:rsid w:val="00F078E4"/>
    <w:rsid w:val="00F11C4A"/>
    <w:rsid w:val="00F15037"/>
    <w:rsid w:val="00F179C9"/>
    <w:rsid w:val="00F20496"/>
    <w:rsid w:val="00F207A8"/>
    <w:rsid w:val="00F25E47"/>
    <w:rsid w:val="00F268E2"/>
    <w:rsid w:val="00F300C0"/>
    <w:rsid w:val="00F345FF"/>
    <w:rsid w:val="00F4040C"/>
    <w:rsid w:val="00F407AE"/>
    <w:rsid w:val="00F41AEB"/>
    <w:rsid w:val="00F4363D"/>
    <w:rsid w:val="00F45EDF"/>
    <w:rsid w:val="00F56C4D"/>
    <w:rsid w:val="00F633A0"/>
    <w:rsid w:val="00F65550"/>
    <w:rsid w:val="00F71E9A"/>
    <w:rsid w:val="00F72C89"/>
    <w:rsid w:val="00F7544C"/>
    <w:rsid w:val="00F77F6F"/>
    <w:rsid w:val="00F8370D"/>
    <w:rsid w:val="00F84370"/>
    <w:rsid w:val="00F8489C"/>
    <w:rsid w:val="00F864F1"/>
    <w:rsid w:val="00F87679"/>
    <w:rsid w:val="00F920C6"/>
    <w:rsid w:val="00F92A58"/>
    <w:rsid w:val="00F96351"/>
    <w:rsid w:val="00F97BEA"/>
    <w:rsid w:val="00F97D81"/>
    <w:rsid w:val="00FA166F"/>
    <w:rsid w:val="00FA4590"/>
    <w:rsid w:val="00FA7AAF"/>
    <w:rsid w:val="00FB3B77"/>
    <w:rsid w:val="00FB475E"/>
    <w:rsid w:val="00FC0B4E"/>
    <w:rsid w:val="00FC1404"/>
    <w:rsid w:val="00FD43DD"/>
    <w:rsid w:val="00FD6006"/>
    <w:rsid w:val="00FD77BA"/>
    <w:rsid w:val="00FD7AB0"/>
    <w:rsid w:val="00FE20E5"/>
    <w:rsid w:val="00FE221A"/>
    <w:rsid w:val="00FE2C1D"/>
    <w:rsid w:val="00FE52BC"/>
    <w:rsid w:val="00FF1161"/>
    <w:rsid w:val="00FF3FA8"/>
    <w:rsid w:val="00FF40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D915E"/>
  <w15:chartTrackingRefBased/>
  <w15:docId w15:val="{4089ED8F-09A7-4624-B2EA-D47E8B4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8" w:unhideWhenUsed="1"/>
    <w:lsdException w:name="toc 2" w:semiHidden="1" w:uiPriority="8"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DEB"/>
    <w:pPr>
      <w:spacing w:after="0" w:line="264" w:lineRule="auto"/>
    </w:pPr>
    <w:rPr>
      <w:rFonts w:ascii="Times New Roman" w:hAnsi="Times New Roman" w:cs="Times New Roman"/>
      <w:sz w:val="24"/>
      <w:szCs w:val="24"/>
    </w:rPr>
  </w:style>
  <w:style w:type="paragraph" w:styleId="Heading1">
    <w:name w:val="heading 1"/>
    <w:basedOn w:val="Normal"/>
    <w:next w:val="Normal"/>
    <w:link w:val="Heading1Char"/>
    <w:uiPriority w:val="3"/>
    <w:qFormat/>
    <w:rsid w:val="008A3DEB"/>
    <w:pPr>
      <w:keepNext/>
      <w:numPr>
        <w:numId w:val="2"/>
      </w:numPr>
      <w:spacing w:after="240"/>
      <w:jc w:val="center"/>
      <w:outlineLvl w:val="0"/>
    </w:pPr>
    <w:rPr>
      <w:rFonts w:cs="Arial"/>
      <w:b/>
      <w:bCs/>
      <w:smallCaps/>
      <w:kern w:val="28"/>
      <w:szCs w:val="32"/>
    </w:rPr>
  </w:style>
  <w:style w:type="paragraph" w:styleId="Heading2">
    <w:name w:val="heading 2"/>
    <w:basedOn w:val="Normal"/>
    <w:next w:val="Normal"/>
    <w:link w:val="Heading2Char"/>
    <w:uiPriority w:val="4"/>
    <w:qFormat/>
    <w:rsid w:val="008A3DEB"/>
    <w:pPr>
      <w:keepNext/>
      <w:numPr>
        <w:ilvl w:val="1"/>
        <w:numId w:val="2"/>
      </w:numPr>
      <w:spacing w:after="240"/>
      <w:jc w:val="center"/>
      <w:outlineLvl w:val="1"/>
    </w:pPr>
    <w:rPr>
      <w:rFonts w:cs="Arial"/>
      <w:b/>
      <w:bCs/>
      <w:iCs/>
      <w:szCs w:val="28"/>
    </w:rPr>
  </w:style>
  <w:style w:type="paragraph" w:styleId="Heading3">
    <w:name w:val="heading 3"/>
    <w:basedOn w:val="Normal"/>
    <w:next w:val="Normal"/>
    <w:link w:val="Heading3Char"/>
    <w:uiPriority w:val="5"/>
    <w:qFormat/>
    <w:rsid w:val="008A3DEB"/>
    <w:pPr>
      <w:keepNext/>
      <w:spacing w:after="240"/>
      <w:outlineLvl w:val="2"/>
    </w:pPr>
    <w:rPr>
      <w:rFonts w:cs="Arial"/>
      <w:b/>
      <w:bCs/>
      <w:szCs w:val="26"/>
    </w:rPr>
  </w:style>
  <w:style w:type="paragraph" w:styleId="Heading4">
    <w:name w:val="heading 4"/>
    <w:basedOn w:val="Normal"/>
    <w:next w:val="Normal"/>
    <w:link w:val="Heading4Char"/>
    <w:uiPriority w:val="6"/>
    <w:qFormat/>
    <w:rsid w:val="008A3DEB"/>
    <w:pPr>
      <w:keepNext/>
      <w:spacing w:after="240"/>
      <w:outlineLvl w:val="3"/>
    </w:pPr>
    <w:rPr>
      <w:b/>
      <w:bCs/>
      <w:i/>
      <w:szCs w:val="28"/>
    </w:rPr>
  </w:style>
  <w:style w:type="paragraph" w:styleId="Heading5">
    <w:name w:val="heading 5"/>
    <w:basedOn w:val="Normal"/>
    <w:next w:val="Normal"/>
    <w:link w:val="Heading5Char"/>
    <w:uiPriority w:val="7"/>
    <w:qFormat/>
    <w:rsid w:val="008A3DEB"/>
    <w:pPr>
      <w:keepNext/>
      <w:spacing w:after="240"/>
      <w:outlineLvl w:val="4"/>
    </w:pPr>
    <w:rPr>
      <w:bCs/>
      <w:i/>
      <w:iCs/>
      <w:szCs w:val="26"/>
    </w:rPr>
  </w:style>
  <w:style w:type="paragraph" w:styleId="Heading6">
    <w:name w:val="heading 6"/>
    <w:basedOn w:val="Normal"/>
    <w:next w:val="Normal"/>
    <w:link w:val="Heading6Char"/>
    <w:uiPriority w:val="8"/>
    <w:rsid w:val="008A3DEB"/>
    <w:pPr>
      <w:outlineLvl w:val="5"/>
    </w:pPr>
    <w:rPr>
      <w:bCs/>
      <w:szCs w:val="22"/>
    </w:rPr>
  </w:style>
  <w:style w:type="paragraph" w:styleId="Heading7">
    <w:name w:val="heading 7"/>
    <w:basedOn w:val="Normal"/>
    <w:next w:val="Normal"/>
    <w:link w:val="Heading7Char"/>
    <w:uiPriority w:val="8"/>
    <w:rsid w:val="008A3DEB"/>
    <w:pPr>
      <w:outlineLvl w:val="6"/>
    </w:pPr>
  </w:style>
  <w:style w:type="paragraph" w:styleId="Heading8">
    <w:name w:val="heading 8"/>
    <w:basedOn w:val="Normal"/>
    <w:next w:val="Normal"/>
    <w:link w:val="Heading8Char"/>
    <w:uiPriority w:val="8"/>
    <w:rsid w:val="008A3DEB"/>
    <w:pPr>
      <w:outlineLvl w:val="7"/>
    </w:pPr>
    <w:rPr>
      <w:iCs/>
    </w:rPr>
  </w:style>
  <w:style w:type="paragraph" w:styleId="Heading9">
    <w:name w:val="heading 9"/>
    <w:basedOn w:val="Normal"/>
    <w:next w:val="Normal"/>
    <w:link w:val="Heading9Char"/>
    <w:uiPriority w:val="8"/>
    <w:rsid w:val="008A3DEB"/>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Times New Roman"/>
      <w:sz w:val="24"/>
      <w:szCs w:val="24"/>
    </w:rPr>
  </w:style>
  <w:style w:type="paragraph" w:styleId="Footer">
    <w:name w:val="footer"/>
    <w:basedOn w:val="Normal"/>
    <w:link w:val="FooterChar"/>
    <w:uiPriority w:val="8"/>
    <w:rsid w:val="008A3DEB"/>
    <w:pPr>
      <w:tabs>
        <w:tab w:val="center" w:pos="4320"/>
        <w:tab w:val="right" w:pos="8640"/>
      </w:tabs>
    </w:pPr>
  </w:style>
  <w:style w:type="character" w:customStyle="1" w:styleId="FooterChar">
    <w:name w:val="Footer Char"/>
    <w:basedOn w:val="DefaultParagraphFont"/>
    <w:link w:val="Footer"/>
    <w:uiPriority w:val="8"/>
    <w:rsid w:val="008A3DEB"/>
    <w:rPr>
      <w:rFonts w:ascii="Times New Roman" w:hAnsi="Times New Roman" w:cs="Times New Roman"/>
      <w:sz w:val="24"/>
      <w:szCs w:val="24"/>
    </w:rPr>
  </w:style>
  <w:style w:type="character" w:styleId="FootnoteReference">
    <w:name w:val="footnote reference"/>
    <w:basedOn w:val="DefaultParagraphFont"/>
    <w:rsid w:val="008A3DEB"/>
    <w:rPr>
      <w:sz w:val="20"/>
      <w:vertAlign w:val="superscript"/>
    </w:rPr>
  </w:style>
  <w:style w:type="paragraph" w:styleId="FootnoteText">
    <w:name w:val="footnote text"/>
    <w:basedOn w:val="Normal"/>
    <w:link w:val="FootnoteTextChar"/>
    <w:rsid w:val="008A3DEB"/>
    <w:pPr>
      <w:spacing w:after="200"/>
    </w:pPr>
    <w:rPr>
      <w:sz w:val="20"/>
      <w:szCs w:val="20"/>
    </w:rPr>
  </w:style>
  <w:style w:type="character" w:customStyle="1" w:styleId="FootnoteTextChar">
    <w:name w:val="Footnote Text Char"/>
    <w:basedOn w:val="DefaultParagraphFont"/>
    <w:link w:val="FootnoteText"/>
    <w:uiPriority w:val="8"/>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basedOn w:val="DefaultParagraphFont"/>
    <w:link w:val="Heading1"/>
    <w:uiPriority w:val="3"/>
    <w:rsid w:val="008A3DEB"/>
    <w:rPr>
      <w:rFonts w:ascii="Times New Roman" w:hAnsi="Times New Roman" w:cs="Arial"/>
      <w:b/>
      <w:bCs/>
      <w:smallCaps/>
      <w:kern w:val="28"/>
      <w:sz w:val="24"/>
      <w:szCs w:val="32"/>
    </w:rPr>
  </w:style>
  <w:style w:type="character" w:customStyle="1" w:styleId="Heading2Char">
    <w:name w:val="Heading 2 Char"/>
    <w:basedOn w:val="DefaultParagraphFont"/>
    <w:link w:val="Heading2"/>
    <w:uiPriority w:val="4"/>
    <w:rsid w:val="008A3DEB"/>
    <w:rPr>
      <w:rFonts w:ascii="Times New Roman" w:hAnsi="Times New Roman" w:cs="Arial"/>
      <w:b/>
      <w:bCs/>
      <w:iCs/>
      <w:sz w:val="24"/>
      <w:szCs w:val="28"/>
    </w:rPr>
  </w:style>
  <w:style w:type="character" w:customStyle="1" w:styleId="Heading3Char">
    <w:name w:val="Heading 3 Char"/>
    <w:basedOn w:val="DefaultParagraphFont"/>
    <w:link w:val="Heading3"/>
    <w:uiPriority w:val="5"/>
    <w:rsid w:val="008A3DEB"/>
    <w:rPr>
      <w:rFonts w:ascii="Times New Roman" w:hAnsi="Times New Roman" w:cs="Arial"/>
      <w:b/>
      <w:bCs/>
      <w:sz w:val="24"/>
      <w:szCs w:val="26"/>
    </w:rPr>
  </w:style>
  <w:style w:type="character" w:customStyle="1" w:styleId="Heading4Char">
    <w:name w:val="Heading 4 Char"/>
    <w:basedOn w:val="DefaultParagraphFont"/>
    <w:link w:val="Heading4"/>
    <w:uiPriority w:val="6"/>
    <w:rsid w:val="008A3DEB"/>
    <w:rPr>
      <w:rFonts w:ascii="Times New Roman" w:hAnsi="Times New Roman" w:cs="Times New Roman"/>
      <w:b/>
      <w:bCs/>
      <w:i/>
      <w:sz w:val="24"/>
      <w:szCs w:val="28"/>
    </w:rPr>
  </w:style>
  <w:style w:type="character" w:customStyle="1" w:styleId="Heading5Char">
    <w:name w:val="Heading 5 Char"/>
    <w:basedOn w:val="DefaultParagraphFont"/>
    <w:link w:val="Heading5"/>
    <w:uiPriority w:val="7"/>
    <w:rsid w:val="008A3DEB"/>
    <w:rPr>
      <w:rFonts w:ascii="Times New Roman" w:hAnsi="Times New Roman" w:cs="Times New Roman"/>
      <w:bCs/>
      <w:i/>
      <w:iCs/>
      <w:sz w:val="24"/>
      <w:szCs w:val="26"/>
    </w:rPr>
  </w:style>
  <w:style w:type="character" w:customStyle="1" w:styleId="Heading6Char">
    <w:name w:val="Heading 6 Char"/>
    <w:basedOn w:val="DefaultParagraphFont"/>
    <w:link w:val="Heading6"/>
    <w:uiPriority w:val="8"/>
    <w:rsid w:val="008A3DEB"/>
    <w:rPr>
      <w:rFonts w:ascii="Times New Roman" w:hAnsi="Times New Roman" w:cs="Times New Roman"/>
      <w:bCs/>
      <w:sz w:val="24"/>
    </w:rPr>
  </w:style>
  <w:style w:type="character" w:customStyle="1" w:styleId="Heading7Char">
    <w:name w:val="Heading 7 Char"/>
    <w:basedOn w:val="DefaultParagraphFont"/>
    <w:link w:val="Heading7"/>
    <w:uiPriority w:val="8"/>
    <w:rsid w:val="008A3DEB"/>
    <w:rPr>
      <w:rFonts w:ascii="Times New Roman" w:hAnsi="Times New Roman" w:cs="Times New Roman"/>
      <w:sz w:val="24"/>
      <w:szCs w:val="24"/>
    </w:rPr>
  </w:style>
  <w:style w:type="character" w:customStyle="1" w:styleId="Heading8Char">
    <w:name w:val="Heading 8 Char"/>
    <w:basedOn w:val="DefaultParagraphFont"/>
    <w:link w:val="Heading8"/>
    <w:uiPriority w:val="8"/>
    <w:rsid w:val="008A3DEB"/>
    <w:rPr>
      <w:rFonts w:ascii="Times New Roman" w:hAnsi="Times New Roman" w:cs="Times New Roman"/>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basedOn w:val="Normal"/>
    <w:uiPriority w:val="2"/>
    <w:qFormat/>
    <w:rsid w:val="008A3DEB"/>
    <w:pPr>
      <w:numPr>
        <w:numId w:val="4"/>
      </w:numPr>
      <w:spacing w:after="240"/>
    </w:pPr>
  </w:style>
  <w:style w:type="paragraph" w:styleId="ListBullet2">
    <w:name w:val="List Bullet 2"/>
    <w:basedOn w:val="Normal"/>
    <w:uiPriority w:val="8"/>
    <w:rsid w:val="008A3DEB"/>
    <w:pPr>
      <w:numPr>
        <w:numId w:val="6"/>
      </w:numPr>
    </w:pPr>
  </w:style>
  <w:style w:type="paragraph" w:styleId="ListBullet3">
    <w:name w:val="List Bullet 3"/>
    <w:basedOn w:val="Normal"/>
    <w:uiPriority w:val="8"/>
    <w:rsid w:val="008A3DEB"/>
    <w:pPr>
      <w:numPr>
        <w:numId w:val="8"/>
      </w:numPr>
    </w:pPr>
  </w:style>
  <w:style w:type="paragraph" w:styleId="ListBullet4">
    <w:name w:val="List Bullet 4"/>
    <w:basedOn w:val="Normal"/>
    <w:uiPriority w:val="8"/>
    <w:rsid w:val="008A3DEB"/>
    <w:pPr>
      <w:numPr>
        <w:numId w:val="10"/>
      </w:numPr>
    </w:pPr>
  </w:style>
  <w:style w:type="paragraph" w:styleId="ListBullet5">
    <w:name w:val="List Bullet 5"/>
    <w:basedOn w:val="Normal"/>
    <w:uiPriority w:val="8"/>
    <w:rsid w:val="008A3DEB"/>
    <w:pPr>
      <w:numPr>
        <w:numId w:val="12"/>
      </w:numPr>
    </w:pPr>
  </w:style>
  <w:style w:type="paragraph" w:styleId="ListNumber">
    <w:name w:val="List Number"/>
    <w:basedOn w:val="Normal"/>
    <w:uiPriority w:val="8"/>
    <w:rsid w:val="008A3DEB"/>
    <w:pPr>
      <w:numPr>
        <w:numId w:val="14"/>
      </w:numPr>
      <w:contextualSpacing/>
    </w:pPr>
  </w:style>
  <w:style w:type="paragraph" w:styleId="ListParagraph">
    <w:name w:val="List Paragraph"/>
    <w:basedOn w:val="Normal"/>
    <w:uiPriority w:val="42"/>
    <w:rsid w:val="008A3DEB"/>
    <w:pPr>
      <w:ind w:left="720"/>
      <w:contextualSpacing/>
    </w:pPr>
  </w:style>
  <w:style w:type="paragraph" w:customStyle="1" w:styleId="ParagraphNumbering">
    <w:name w:val="Paragraph Numbering"/>
    <w:basedOn w:val="Normal"/>
    <w:uiPriority w:val="1"/>
    <w:qFormat/>
    <w:rsid w:val="008A3DEB"/>
    <w:pPr>
      <w:numPr>
        <w:numId w:val="15"/>
      </w:numPr>
      <w:spacing w:after="240"/>
    </w:pPr>
  </w:style>
  <w:style w:type="paragraph" w:styleId="Title">
    <w:name w:val="Title"/>
    <w:basedOn w:val="Normal"/>
    <w:link w:val="TitleChar"/>
    <w:uiPriority w:val="8"/>
    <w:rsid w:val="008A3DE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8"/>
    <w:rsid w:val="008A3DEB"/>
    <w:rPr>
      <w:rFonts w:ascii="Arial" w:hAnsi="Arial" w:cs="Arial"/>
      <w:b/>
      <w:bCs/>
      <w:kern w:val="28"/>
      <w:sz w:val="32"/>
      <w:szCs w:val="32"/>
    </w:rPr>
  </w:style>
  <w:style w:type="paragraph" w:styleId="TOC1">
    <w:name w:val="toc 1"/>
    <w:basedOn w:val="Normal"/>
    <w:next w:val="Normal"/>
    <w:uiPriority w:val="8"/>
    <w:rsid w:val="008A3DEB"/>
  </w:style>
  <w:style w:type="paragraph" w:styleId="TOC2">
    <w:name w:val="toc 2"/>
    <w:basedOn w:val="Normal"/>
    <w:next w:val="Normal"/>
    <w:uiPriority w:val="8"/>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semiHidden/>
    <w:unhideWhenUsed/>
    <w:rsid w:val="005F722E"/>
  </w:style>
  <w:style w:type="character" w:styleId="CommentReference">
    <w:name w:val="annotation reference"/>
    <w:basedOn w:val="DefaultParagraphFont"/>
    <w:uiPriority w:val="99"/>
    <w:semiHidden/>
    <w:unhideWhenUsed/>
    <w:rsid w:val="00B457AC"/>
    <w:rPr>
      <w:sz w:val="16"/>
      <w:szCs w:val="16"/>
    </w:rPr>
  </w:style>
  <w:style w:type="paragraph" w:styleId="CommentText">
    <w:name w:val="annotation text"/>
    <w:basedOn w:val="Normal"/>
    <w:link w:val="CommentTextChar"/>
    <w:uiPriority w:val="99"/>
    <w:semiHidden/>
    <w:unhideWhenUsed/>
    <w:rsid w:val="00B457AC"/>
    <w:pPr>
      <w:spacing w:line="240" w:lineRule="auto"/>
    </w:pPr>
    <w:rPr>
      <w:sz w:val="20"/>
      <w:szCs w:val="20"/>
    </w:rPr>
  </w:style>
  <w:style w:type="character" w:customStyle="1" w:styleId="CommentTextChar">
    <w:name w:val="Comment Text Char"/>
    <w:basedOn w:val="DefaultParagraphFont"/>
    <w:link w:val="CommentText"/>
    <w:uiPriority w:val="99"/>
    <w:semiHidden/>
    <w:rsid w:val="00B457A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7AC"/>
    <w:rPr>
      <w:b/>
      <w:bCs/>
    </w:rPr>
  </w:style>
  <w:style w:type="character" w:customStyle="1" w:styleId="CommentSubjectChar">
    <w:name w:val="Comment Subject Char"/>
    <w:basedOn w:val="CommentTextChar"/>
    <w:link w:val="CommentSubject"/>
    <w:uiPriority w:val="99"/>
    <w:semiHidden/>
    <w:rsid w:val="00B457A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457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7AC"/>
    <w:rPr>
      <w:rFonts w:ascii="Segoe UI" w:hAnsi="Segoe UI" w:cs="Segoe UI"/>
      <w:sz w:val="18"/>
      <w:szCs w:val="18"/>
    </w:rPr>
  </w:style>
  <w:style w:type="paragraph" w:styleId="Revision">
    <w:name w:val="Revision"/>
    <w:hidden/>
    <w:uiPriority w:val="99"/>
    <w:semiHidden/>
    <w:rsid w:val="00095762"/>
    <w:pPr>
      <w:spacing w:after="0" w:line="240" w:lineRule="auto"/>
    </w:pPr>
    <w:rPr>
      <w:rFonts w:ascii="Times New Roman" w:hAnsi="Times New Roman" w:cs="Times New Roman"/>
      <w:sz w:val="24"/>
      <w:szCs w:val="24"/>
    </w:rPr>
  </w:style>
  <w:style w:type="table" w:styleId="TableGrid">
    <w:name w:val="Table Grid"/>
    <w:basedOn w:val="TableNormal"/>
    <w:rsid w:val="00921023"/>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5.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71A69-05A5-4E22-9CAD-EF466326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Lusinyan, Lusine</dc:creator>
  <cp:keywords/>
  <dc:description/>
  <cp:lastModifiedBy>Kovtun, Dmitriy</cp:lastModifiedBy>
  <cp:revision>5</cp:revision>
  <cp:lastPrinted>2019-06-07T19:28:00Z</cp:lastPrinted>
  <dcterms:created xsi:type="dcterms:W3CDTF">2019-06-07T19:28:00Z</dcterms:created>
  <dcterms:modified xsi:type="dcterms:W3CDTF">2019-06-07T19:40:00Z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LASSIFICATION">
    <vt:lpwstr>C</vt:lpwstr>
  </property>
  <property fmtid="{D5CDD505-2E9C-101B-9397-08002B2CF9AE}" pid="3" name="InitialClassification">
    <vt:lpwstr>CONFIDENTIAL</vt:lpwstr>
  </property>
</Properties>
</file>